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4FE34C24" w:rsidR="00F110CD" w:rsidRPr="00674CA6" w:rsidRDefault="00F110CD">
      <w:pPr>
        <w:pStyle w:val="Header"/>
        <w:tabs>
          <w:tab w:val="right" w:pos="9639"/>
        </w:tabs>
        <w:rPr>
          <w:noProof w:val="0"/>
          <w:sz w:val="24"/>
          <w:szCs w:val="24"/>
          <w:lang w:val="de-DE"/>
        </w:rPr>
      </w:pPr>
      <w:bookmarkStart w:id="0" w:name="_GoBack"/>
      <w:bookmarkEnd w:id="0"/>
      <w:r w:rsidRPr="00674CA6">
        <w:rPr>
          <w:noProof w:val="0"/>
          <w:sz w:val="24"/>
          <w:szCs w:val="24"/>
          <w:lang w:val="de-DE"/>
        </w:rPr>
        <w:t>3GPP TSG RA</w:t>
      </w:r>
      <w:r w:rsidR="00BA1872" w:rsidRPr="00674CA6">
        <w:rPr>
          <w:noProof w:val="0"/>
          <w:sz w:val="24"/>
          <w:szCs w:val="24"/>
          <w:lang w:val="de-DE"/>
        </w:rPr>
        <w:t xml:space="preserve">N WG1 </w:t>
      </w:r>
      <w:r w:rsidR="00B65452" w:rsidRPr="00674CA6">
        <w:rPr>
          <w:noProof w:val="0"/>
          <w:sz w:val="24"/>
          <w:szCs w:val="24"/>
          <w:lang w:val="de-DE"/>
        </w:rPr>
        <w:t>#96</w:t>
      </w:r>
      <w:r w:rsidR="00C86B1D" w:rsidRPr="00674CA6">
        <w:rPr>
          <w:noProof w:val="0"/>
          <w:sz w:val="24"/>
          <w:szCs w:val="24"/>
          <w:lang w:val="de-DE"/>
        </w:rPr>
        <w:t>bis</w:t>
      </w:r>
      <w:r w:rsidR="001348FE" w:rsidRPr="00674CA6">
        <w:rPr>
          <w:bCs/>
          <w:noProof w:val="0"/>
          <w:sz w:val="24"/>
          <w:szCs w:val="24"/>
          <w:lang w:val="de-DE"/>
        </w:rPr>
        <w:tab/>
      </w:r>
      <w:r w:rsidR="00BA1872" w:rsidRPr="00674CA6">
        <w:rPr>
          <w:noProof w:val="0"/>
          <w:sz w:val="24"/>
          <w:szCs w:val="24"/>
          <w:lang w:val="de-DE"/>
        </w:rPr>
        <w:t>R1-</w:t>
      </w:r>
      <w:r w:rsidR="00461EB5" w:rsidRPr="00674CA6">
        <w:rPr>
          <w:lang w:val="de-DE"/>
        </w:rPr>
        <w:t xml:space="preserve"> </w:t>
      </w:r>
      <w:r w:rsidR="00461EB5" w:rsidRPr="003B3752">
        <w:rPr>
          <w:noProof w:val="0"/>
          <w:sz w:val="24"/>
          <w:szCs w:val="24"/>
          <w:lang w:val="de-DE"/>
        </w:rPr>
        <w:t>1905262</w:t>
      </w:r>
    </w:p>
    <w:p w14:paraId="30E02940" w14:textId="6E1A291C" w:rsidR="00CA26CE" w:rsidRDefault="00C86B1D" w:rsidP="00CA26CE">
      <w:pPr>
        <w:pStyle w:val="Header"/>
        <w:rPr>
          <w:bCs/>
          <w:noProof w:val="0"/>
          <w:sz w:val="24"/>
          <w:szCs w:val="24"/>
        </w:rPr>
      </w:pPr>
      <w:r>
        <w:rPr>
          <w:bCs/>
          <w:noProof w:val="0"/>
          <w:sz w:val="24"/>
          <w:szCs w:val="24"/>
        </w:rPr>
        <w:t>Xi’an</w:t>
      </w:r>
      <w:r w:rsidR="00B65452">
        <w:rPr>
          <w:bCs/>
          <w:noProof w:val="0"/>
          <w:sz w:val="24"/>
          <w:szCs w:val="24"/>
        </w:rPr>
        <w:t xml:space="preserve">, </w:t>
      </w:r>
      <w:r>
        <w:rPr>
          <w:bCs/>
          <w:noProof w:val="0"/>
          <w:sz w:val="24"/>
          <w:szCs w:val="24"/>
        </w:rPr>
        <w:t>China</w:t>
      </w:r>
      <w:r w:rsidR="00B65452">
        <w:rPr>
          <w:bCs/>
          <w:noProof w:val="0"/>
          <w:sz w:val="24"/>
          <w:szCs w:val="24"/>
        </w:rPr>
        <w:t xml:space="preserve">, </w:t>
      </w:r>
      <w:r>
        <w:rPr>
          <w:bCs/>
          <w:noProof w:val="0"/>
          <w:sz w:val="24"/>
          <w:szCs w:val="24"/>
        </w:rPr>
        <w:t>8</w:t>
      </w:r>
      <w:r w:rsidR="00B65452" w:rsidRPr="00B65452">
        <w:rPr>
          <w:bCs/>
          <w:noProof w:val="0"/>
          <w:sz w:val="24"/>
          <w:szCs w:val="24"/>
          <w:vertAlign w:val="superscript"/>
        </w:rPr>
        <w:t>th</w:t>
      </w:r>
      <w:r w:rsidR="00B65452">
        <w:rPr>
          <w:bCs/>
          <w:noProof w:val="0"/>
          <w:sz w:val="24"/>
          <w:szCs w:val="24"/>
        </w:rPr>
        <w:t xml:space="preserve"> </w:t>
      </w:r>
      <w:r>
        <w:rPr>
          <w:bCs/>
          <w:noProof w:val="0"/>
          <w:sz w:val="24"/>
          <w:szCs w:val="24"/>
        </w:rPr>
        <w:t>– 12</w:t>
      </w:r>
      <w:r w:rsidRPr="00C86B1D">
        <w:rPr>
          <w:bCs/>
          <w:noProof w:val="0"/>
          <w:sz w:val="24"/>
          <w:szCs w:val="24"/>
          <w:vertAlign w:val="superscript"/>
        </w:rPr>
        <w:t>th</w:t>
      </w:r>
      <w:r>
        <w:rPr>
          <w:bCs/>
          <w:noProof w:val="0"/>
          <w:sz w:val="24"/>
          <w:szCs w:val="24"/>
        </w:rPr>
        <w:t xml:space="preserve"> </w:t>
      </w:r>
      <w:proofErr w:type="gramStart"/>
      <w:r>
        <w:rPr>
          <w:bCs/>
          <w:noProof w:val="0"/>
          <w:sz w:val="24"/>
          <w:szCs w:val="24"/>
        </w:rPr>
        <w:t>April</w:t>
      </w:r>
      <w:r w:rsidR="00BA1872">
        <w:rPr>
          <w:bCs/>
          <w:noProof w:val="0"/>
          <w:sz w:val="24"/>
          <w:szCs w:val="24"/>
        </w:rPr>
        <w:t>,</w:t>
      </w:r>
      <w:proofErr w:type="gramEnd"/>
      <w:r w:rsidR="00BA1872">
        <w:rPr>
          <w:bCs/>
          <w:noProof w:val="0"/>
          <w:sz w:val="24"/>
          <w:szCs w:val="24"/>
        </w:rPr>
        <w:t xml:space="preserve"> 2019</w:t>
      </w:r>
    </w:p>
    <w:p w14:paraId="2CFE1919" w14:textId="77777777" w:rsidR="00850D96" w:rsidRPr="00850D96" w:rsidRDefault="00850D96" w:rsidP="00CA26CE">
      <w:pPr>
        <w:pStyle w:val="Header"/>
        <w:rPr>
          <w:bCs/>
          <w:noProof w:val="0"/>
          <w:sz w:val="24"/>
          <w:lang w:val="en-GB" w:eastAsia="ja-JP"/>
        </w:rPr>
      </w:pPr>
    </w:p>
    <w:p w14:paraId="30E02941" w14:textId="048B354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7820D0">
        <w:rPr>
          <w:rFonts w:cs="Arial"/>
          <w:b/>
          <w:bCs/>
          <w:sz w:val="24"/>
          <w:szCs w:val="24"/>
        </w:rPr>
        <w:t>.</w:t>
      </w:r>
      <w:r w:rsidR="00AD372F">
        <w:rPr>
          <w:rFonts w:cs="Arial"/>
          <w:b/>
          <w:bCs/>
          <w:sz w:val="24"/>
          <w:szCs w:val="24"/>
        </w:rPr>
        <w:t>10.1</w:t>
      </w:r>
    </w:p>
    <w:p w14:paraId="30E02942" w14:textId="106AC9F2"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65FA20B1" w:rsidRPr="3E61DC49">
        <w:rPr>
          <w:rFonts w:ascii="Arial" w:hAnsi="Arial" w:cs="Arial"/>
          <w:b/>
          <w:bCs/>
          <w:sz w:val="24"/>
          <w:szCs w:val="24"/>
        </w:rPr>
        <w:t xml:space="preserve"> </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7E0F09F5"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65FA20B1" w:rsidRPr="3E61DC49">
        <w:rPr>
          <w:rFonts w:ascii="Arial" w:hAnsi="Arial" w:cs="Arial"/>
          <w:b/>
          <w:bCs/>
          <w:sz w:val="24"/>
          <w:szCs w:val="24"/>
        </w:rPr>
        <w:t xml:space="preserve"> </w:t>
      </w:r>
      <w:r w:rsidRPr="0016316A">
        <w:rPr>
          <w:rFonts w:ascii="Arial" w:hAnsi="Arial" w:cs="Arial"/>
          <w:b/>
          <w:bCs/>
          <w:sz w:val="24"/>
        </w:rPr>
        <w:tab/>
      </w:r>
      <w:r w:rsidR="005D3F1A" w:rsidRPr="003B3752">
        <w:rPr>
          <w:rFonts w:ascii="Arial" w:hAnsi="Arial" w:cs="Arial"/>
          <w:b/>
          <w:bCs/>
          <w:sz w:val="24"/>
          <w:szCs w:val="24"/>
        </w:rPr>
        <w:t xml:space="preserve">Views on </w:t>
      </w:r>
      <w:r w:rsidR="00AD372F" w:rsidRPr="003B3752">
        <w:rPr>
          <w:rFonts w:ascii="Arial" w:hAnsi="Arial" w:cs="Arial"/>
          <w:b/>
          <w:bCs/>
          <w:sz w:val="24"/>
          <w:szCs w:val="24"/>
        </w:rPr>
        <w:t xml:space="preserve">DL and UL </w:t>
      </w:r>
      <w:r w:rsidR="005D3F1A" w:rsidRPr="003B3752">
        <w:rPr>
          <w:rFonts w:ascii="Arial" w:hAnsi="Arial" w:cs="Arial"/>
          <w:b/>
          <w:bCs/>
          <w:sz w:val="24"/>
          <w:szCs w:val="24"/>
        </w:rPr>
        <w:t>reference signals for NR Positioning</w:t>
      </w:r>
    </w:p>
    <w:p w14:paraId="30E02944" w14:textId="5DECF18B"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65FA20B1" w:rsidRPr="3E61DC49">
        <w:rPr>
          <w:rFonts w:ascii="Arial" w:hAnsi="Arial" w:cs="Arial"/>
          <w:b/>
          <w:bCs/>
          <w:sz w:val="24"/>
          <w:szCs w:val="24"/>
        </w:rPr>
        <w:t xml:space="preserve"> </w:t>
      </w:r>
      <w:r w:rsidRPr="0016316A">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59FAA554" w14:textId="29F6EF14" w:rsidR="00AD372F" w:rsidRDefault="00AD372F" w:rsidP="00AD372F">
      <w:bookmarkStart w:id="1" w:name="_Hlk510705081"/>
      <w:r>
        <w:t>As part of the recently approved WID [</w:t>
      </w:r>
      <w:r w:rsidRPr="00B71881">
        <w:t>1</w:t>
      </w:r>
      <w:r>
        <w:t>], RAN1 has the following objective related to reference signals for NR positioning:</w:t>
      </w:r>
    </w:p>
    <w:p w14:paraId="282176B6" w14:textId="77777777" w:rsidR="00AD372F" w:rsidRPr="00057F88" w:rsidRDefault="00AD372F" w:rsidP="00AD372F">
      <w:pPr>
        <w:pStyle w:val="3GPPAgreements"/>
        <w:ind w:left="284" w:hanging="284"/>
        <w:rPr>
          <w:sz w:val="20"/>
        </w:rPr>
      </w:pPr>
      <w:r w:rsidRPr="00CB2B19">
        <w:rPr>
          <w:sz w:val="20"/>
        </w:rPr>
        <w:t>Specify N</w:t>
      </w:r>
      <w:r w:rsidRPr="00057F88">
        <w:rPr>
          <w:sz w:val="20"/>
        </w:rPr>
        <w:t xml:space="preserve">R DL and UL reference signals to </w:t>
      </w:r>
      <w:r>
        <w:rPr>
          <w:sz w:val="20"/>
        </w:rPr>
        <w:t xml:space="preserve">facilitate </w:t>
      </w:r>
      <w:r w:rsidRPr="00057F88">
        <w:rPr>
          <w:sz w:val="20"/>
        </w:rPr>
        <w:t>support of NR positioning techniques</w:t>
      </w:r>
      <w:r>
        <w:rPr>
          <w:sz w:val="20"/>
        </w:rPr>
        <w:t xml:space="preserve"> (</w:t>
      </w:r>
      <w:r w:rsidRPr="00057F88">
        <w:rPr>
          <w:sz w:val="20"/>
        </w:rPr>
        <w:t xml:space="preserve">DL-TDOA, DL-AoD, UL-TDOA, UL-AoA, </w:t>
      </w:r>
      <w:r>
        <w:rPr>
          <w:sz w:val="20"/>
        </w:rPr>
        <w:t xml:space="preserve">multi-cell </w:t>
      </w:r>
      <w:r w:rsidRPr="00057F88">
        <w:rPr>
          <w:sz w:val="20"/>
        </w:rPr>
        <w:t>RTT and E-CID</w:t>
      </w:r>
      <w:r>
        <w:rPr>
          <w:sz w:val="20"/>
        </w:rPr>
        <w:t>)</w:t>
      </w:r>
      <w:r w:rsidRPr="00057F88">
        <w:rPr>
          <w:sz w:val="20"/>
        </w:rPr>
        <w:t xml:space="preserve"> [RAN1]</w:t>
      </w:r>
    </w:p>
    <w:p w14:paraId="26D3FABC" w14:textId="77777777" w:rsidR="00AD372F" w:rsidRPr="00057F88" w:rsidRDefault="00AD372F" w:rsidP="00AD372F">
      <w:pPr>
        <w:pStyle w:val="3GPPAgreements"/>
        <w:numPr>
          <w:ilvl w:val="1"/>
          <w:numId w:val="18"/>
        </w:numPr>
        <w:rPr>
          <w:sz w:val="20"/>
        </w:rPr>
      </w:pPr>
      <w:r>
        <w:rPr>
          <w:sz w:val="20"/>
        </w:rPr>
        <w:t xml:space="preserve">Support </w:t>
      </w:r>
      <w:r w:rsidRPr="00DB1358">
        <w:rPr>
          <w:rFonts w:hint="eastAsia"/>
          <w:sz w:val="20"/>
        </w:rPr>
        <w:t>E-CID downlink measurements based on at</w:t>
      </w:r>
      <w:r>
        <w:rPr>
          <w:sz w:val="20"/>
        </w:rPr>
        <w:t xml:space="preserve"> </w:t>
      </w:r>
      <w:r w:rsidRPr="00DB1358">
        <w:rPr>
          <w:rFonts w:hint="eastAsia"/>
          <w:sz w:val="20"/>
        </w:rPr>
        <w:t>least RRM measurements defined in NR Rel. 15</w:t>
      </w:r>
    </w:p>
    <w:p w14:paraId="2D46D73D" w14:textId="77777777" w:rsidR="00AD372F" w:rsidRDefault="00AD372F" w:rsidP="00AD372F">
      <w:pPr>
        <w:pStyle w:val="3GPPAgreements"/>
        <w:numPr>
          <w:ilvl w:val="1"/>
          <w:numId w:val="18"/>
        </w:numPr>
        <w:rPr>
          <w:sz w:val="20"/>
        </w:rPr>
      </w:pPr>
      <w:r w:rsidRPr="00057F88">
        <w:rPr>
          <w:sz w:val="20"/>
        </w:rPr>
        <w:t xml:space="preserve">Identify whether and which Rel-15 NR </w:t>
      </w:r>
      <w:r>
        <w:rPr>
          <w:sz w:val="20"/>
        </w:rPr>
        <w:t xml:space="preserve">reference </w:t>
      </w:r>
      <w:r w:rsidRPr="00057F88">
        <w:rPr>
          <w:sz w:val="20"/>
        </w:rPr>
        <w:t>signals</w:t>
      </w:r>
      <w:r>
        <w:rPr>
          <w:sz w:val="20"/>
        </w:rPr>
        <w:t xml:space="preserve"> can be used </w:t>
      </w:r>
      <w:r w:rsidRPr="006B77FD">
        <w:rPr>
          <w:sz w:val="20"/>
        </w:rPr>
        <w:t>for different NR positioning techniques</w:t>
      </w:r>
    </w:p>
    <w:p w14:paraId="11BC09F1" w14:textId="77777777" w:rsidR="00AD372F" w:rsidRPr="00057F88" w:rsidRDefault="00AD372F" w:rsidP="00AD372F">
      <w:pPr>
        <w:pStyle w:val="3GPPAgreements"/>
        <w:numPr>
          <w:ilvl w:val="1"/>
          <w:numId w:val="18"/>
        </w:numPr>
        <w:rPr>
          <w:sz w:val="20"/>
        </w:rPr>
      </w:pPr>
      <w:r>
        <w:rPr>
          <w:sz w:val="20"/>
        </w:rPr>
        <w:t xml:space="preserve">Define new </w:t>
      </w:r>
      <w:r w:rsidRPr="00057F88">
        <w:rPr>
          <w:sz w:val="20"/>
        </w:rPr>
        <w:t xml:space="preserve">DL positioning reference signals </w:t>
      </w:r>
      <w:r>
        <w:rPr>
          <w:sz w:val="20"/>
        </w:rPr>
        <w:t xml:space="preserve">applicable </w:t>
      </w:r>
      <w:r w:rsidRPr="00057F88">
        <w:rPr>
          <w:sz w:val="20"/>
        </w:rPr>
        <w:t xml:space="preserve">at least </w:t>
      </w:r>
      <w:r>
        <w:rPr>
          <w:sz w:val="20"/>
        </w:rPr>
        <w:t xml:space="preserve">for </w:t>
      </w:r>
      <w:r w:rsidRPr="00057F88">
        <w:rPr>
          <w:sz w:val="20"/>
        </w:rPr>
        <w:t>DL-TDOA, DL-AoD, RTT</w:t>
      </w:r>
    </w:p>
    <w:p w14:paraId="75D620AA" w14:textId="77777777" w:rsidR="00AD372F" w:rsidRPr="00CB2B19" w:rsidRDefault="00AD372F" w:rsidP="00AD372F">
      <w:pPr>
        <w:pStyle w:val="3GPPAgreements"/>
        <w:numPr>
          <w:ilvl w:val="1"/>
          <w:numId w:val="18"/>
        </w:numPr>
        <w:rPr>
          <w:sz w:val="20"/>
        </w:rPr>
      </w:pPr>
      <w:r w:rsidRPr="00CB2B19">
        <w:rPr>
          <w:sz w:val="20"/>
        </w:rPr>
        <w:t>Define UL SRS with possible enhancements for positioning which is applicable at least for RTT, UL-TDOA, UL-AoA</w:t>
      </w:r>
    </w:p>
    <w:p w14:paraId="2676BFD9" w14:textId="59593BAD" w:rsidR="00AD372F" w:rsidRDefault="00AD372F" w:rsidP="00A64A6E">
      <w:r>
        <w:t xml:space="preserve">This contribution presents Nokia’s view on the reference signal design for NR positioning. See our companion contributions [2] and [3] for our views on UE/gNB measurements and physical layer procedures for NR positioning respectively. </w:t>
      </w:r>
    </w:p>
    <w:p w14:paraId="71230483" w14:textId="4E92F1B0" w:rsidR="00305297" w:rsidRDefault="007820D0" w:rsidP="00A23DCA">
      <w:pPr>
        <w:pStyle w:val="Heading1"/>
      </w:pPr>
      <w:r>
        <w:t>Discussion</w:t>
      </w:r>
    </w:p>
    <w:bookmarkEnd w:id="1"/>
    <w:p w14:paraId="2FB21F28" w14:textId="7F4E9164" w:rsidR="00A23DCA" w:rsidRDefault="2C87A766" w:rsidP="4D62406C">
      <w:pPr>
        <w:pStyle w:val="Heading2"/>
      </w:pPr>
      <w:r>
        <w:t xml:space="preserve">DL- </w:t>
      </w:r>
      <w:r w:rsidR="00DD594A">
        <w:t xml:space="preserve">PRS Design </w:t>
      </w:r>
    </w:p>
    <w:p w14:paraId="6DBAE279" w14:textId="5385A26A" w:rsidR="00DD594A" w:rsidRDefault="00DD594A" w:rsidP="00DD594A">
      <w:r>
        <w:t>One of the key objectives of the work item is to define a new DL positioning reference signal (PRS) for NR. This section discusses the open issues for the PRS design and presents Nokia’s view</w:t>
      </w:r>
      <w:r w:rsidR="00D77603">
        <w:t>s</w:t>
      </w:r>
      <w:r>
        <w:t xml:space="preserve">. </w:t>
      </w:r>
    </w:p>
    <w:p w14:paraId="7BBCD7EE" w14:textId="2DEEC200" w:rsidR="00DD594A" w:rsidRDefault="00DD594A" w:rsidP="00DD594A">
      <w:pPr>
        <w:pStyle w:val="Heading3"/>
      </w:pPr>
      <w:r>
        <w:t>Bandwidth and SCS</w:t>
      </w:r>
    </w:p>
    <w:p w14:paraId="1D2896EA" w14:textId="65FB53FC" w:rsidR="00F144AD" w:rsidRPr="00C02E29" w:rsidRDefault="00F144AD" w:rsidP="00F144AD">
      <w:pPr>
        <w:spacing w:afterLines="50" w:after="120"/>
        <w:rPr>
          <w:lang w:val="en-US"/>
        </w:rPr>
      </w:pPr>
      <w:r w:rsidRPr="00C02E29">
        <w:t xml:space="preserve">As concluded in study item phase, </w:t>
      </w:r>
      <w:r w:rsidRPr="00C02E29">
        <w:rPr>
          <w:lang w:val="en-US"/>
        </w:rPr>
        <w:t xml:space="preserve">configurable NR DL PRS signal numerology (SCS) should be supported. We see two remaining issues </w:t>
      </w:r>
      <w:r>
        <w:rPr>
          <w:lang w:val="en-US"/>
        </w:rPr>
        <w:t>in the</w:t>
      </w:r>
      <w:r w:rsidRPr="00C02E29">
        <w:rPr>
          <w:lang w:val="en-US"/>
        </w:rPr>
        <w:t xml:space="preserve"> support</w:t>
      </w:r>
      <w:r>
        <w:rPr>
          <w:lang w:val="en-US"/>
        </w:rPr>
        <w:t xml:space="preserve"> of</w:t>
      </w:r>
      <w:r w:rsidRPr="00C02E29">
        <w:rPr>
          <w:lang w:val="en-US"/>
        </w:rPr>
        <w:t xml:space="preserve"> configurable DL PRS numerology</w:t>
      </w:r>
      <w:r>
        <w:rPr>
          <w:lang w:val="en-US"/>
        </w:rPr>
        <w:t xml:space="preserve"> in NR positioning</w:t>
      </w:r>
      <w:r w:rsidR="002E3259">
        <w:rPr>
          <w:lang w:val="en-US"/>
        </w:rPr>
        <w:t>.</w:t>
      </w:r>
    </w:p>
    <w:p w14:paraId="4AC25AF7" w14:textId="06097C16" w:rsidR="00F144AD" w:rsidRPr="00F144AD" w:rsidRDefault="00F144AD" w:rsidP="00F144AD">
      <w:pPr>
        <w:pStyle w:val="ListParagraph"/>
        <w:numPr>
          <w:ilvl w:val="0"/>
          <w:numId w:val="19"/>
        </w:numPr>
        <w:spacing w:afterLines="50" w:after="120"/>
        <w:contextualSpacing w:val="0"/>
        <w:jc w:val="both"/>
        <w:rPr>
          <w:sz w:val="20"/>
          <w:szCs w:val="20"/>
          <w:lang w:val="en-US"/>
        </w:rPr>
      </w:pPr>
      <w:r w:rsidRPr="00F144AD">
        <w:rPr>
          <w:sz w:val="20"/>
          <w:szCs w:val="20"/>
          <w:lang w:val="en-US"/>
        </w:rPr>
        <w:t>What numerologies and associated bandwidths are supported?</w:t>
      </w:r>
    </w:p>
    <w:p w14:paraId="3B953D96" w14:textId="75D1D95D" w:rsidR="00DD594A" w:rsidRPr="00F144AD" w:rsidRDefault="00DD594A" w:rsidP="00F144AD">
      <w:pPr>
        <w:pStyle w:val="ListParagraph"/>
        <w:spacing w:afterLines="50" w:after="120"/>
        <w:ind w:left="360"/>
        <w:contextualSpacing w:val="0"/>
        <w:jc w:val="both"/>
        <w:rPr>
          <w:sz w:val="20"/>
          <w:szCs w:val="20"/>
        </w:rPr>
      </w:pPr>
      <w:proofErr w:type="spellStart"/>
      <w:r w:rsidRPr="00F144AD">
        <w:rPr>
          <w:sz w:val="20"/>
          <w:szCs w:val="20"/>
        </w:rPr>
        <w:t>The</w:t>
      </w:r>
      <w:proofErr w:type="spellEnd"/>
      <w:r w:rsidRPr="00F144AD">
        <w:rPr>
          <w:sz w:val="20"/>
          <w:szCs w:val="20"/>
        </w:rPr>
        <w:t xml:space="preserve"> </w:t>
      </w:r>
      <w:proofErr w:type="spellStart"/>
      <w:r w:rsidRPr="00F144AD">
        <w:rPr>
          <w:sz w:val="20"/>
          <w:szCs w:val="20"/>
        </w:rPr>
        <w:t>use</w:t>
      </w:r>
      <w:proofErr w:type="spellEnd"/>
      <w:r w:rsidRPr="00F144AD">
        <w:rPr>
          <w:sz w:val="20"/>
          <w:szCs w:val="20"/>
        </w:rPr>
        <w:t xml:space="preserve"> of </w:t>
      </w:r>
      <w:proofErr w:type="spellStart"/>
      <w:r w:rsidRPr="00F144AD">
        <w:rPr>
          <w:sz w:val="20"/>
          <w:szCs w:val="20"/>
        </w:rPr>
        <w:t>wide</w:t>
      </w:r>
      <w:proofErr w:type="spellEnd"/>
      <w:r w:rsidRPr="00F144AD">
        <w:rPr>
          <w:sz w:val="20"/>
          <w:szCs w:val="20"/>
        </w:rPr>
        <w:t xml:space="preserve"> </w:t>
      </w:r>
      <w:proofErr w:type="spellStart"/>
      <w:r w:rsidRPr="00F144AD">
        <w:rPr>
          <w:sz w:val="20"/>
          <w:szCs w:val="20"/>
        </w:rPr>
        <w:t>bandwidths</w:t>
      </w:r>
      <w:proofErr w:type="spellEnd"/>
      <w:r w:rsidRPr="00F144AD">
        <w:rPr>
          <w:sz w:val="20"/>
          <w:szCs w:val="20"/>
        </w:rPr>
        <w:t xml:space="preserve"> for </w:t>
      </w:r>
      <w:proofErr w:type="spellStart"/>
      <w:r w:rsidRPr="00F144AD">
        <w:rPr>
          <w:sz w:val="20"/>
          <w:szCs w:val="20"/>
        </w:rPr>
        <w:t>the</w:t>
      </w:r>
      <w:proofErr w:type="spellEnd"/>
      <w:r w:rsidRPr="00F144AD">
        <w:rPr>
          <w:sz w:val="20"/>
          <w:szCs w:val="20"/>
        </w:rPr>
        <w:t xml:space="preserve"> PRS </w:t>
      </w:r>
      <w:proofErr w:type="spellStart"/>
      <w:r w:rsidRPr="00F144AD">
        <w:rPr>
          <w:sz w:val="20"/>
          <w:szCs w:val="20"/>
        </w:rPr>
        <w:t>was</w:t>
      </w:r>
      <w:proofErr w:type="spellEnd"/>
      <w:r w:rsidRPr="00F144AD">
        <w:rPr>
          <w:sz w:val="20"/>
          <w:szCs w:val="20"/>
        </w:rPr>
        <w:t xml:space="preserve"> </w:t>
      </w:r>
      <w:proofErr w:type="spellStart"/>
      <w:r w:rsidRPr="00F144AD">
        <w:rPr>
          <w:sz w:val="20"/>
          <w:szCs w:val="20"/>
        </w:rPr>
        <w:t>shown</w:t>
      </w:r>
      <w:proofErr w:type="spellEnd"/>
      <w:r w:rsidRPr="00F144AD">
        <w:rPr>
          <w:sz w:val="20"/>
          <w:szCs w:val="20"/>
        </w:rPr>
        <w:t xml:space="preserve"> in </w:t>
      </w:r>
      <w:proofErr w:type="spellStart"/>
      <w:r w:rsidRPr="00F144AD">
        <w:rPr>
          <w:sz w:val="20"/>
          <w:szCs w:val="20"/>
        </w:rPr>
        <w:t>the</w:t>
      </w:r>
      <w:proofErr w:type="spellEnd"/>
      <w:r w:rsidRPr="00F144AD">
        <w:rPr>
          <w:sz w:val="20"/>
          <w:szCs w:val="20"/>
        </w:rPr>
        <w:t xml:space="preserve"> SI </w:t>
      </w:r>
      <w:proofErr w:type="spellStart"/>
      <w:r w:rsidRPr="00F144AD">
        <w:rPr>
          <w:sz w:val="20"/>
          <w:szCs w:val="20"/>
        </w:rPr>
        <w:t>evaluations</w:t>
      </w:r>
      <w:proofErr w:type="spellEnd"/>
      <w:r w:rsidRPr="00F144AD">
        <w:rPr>
          <w:sz w:val="20"/>
          <w:szCs w:val="20"/>
        </w:rPr>
        <w:t xml:space="preserve"> [</w:t>
      </w:r>
      <w:r w:rsidR="000659FD">
        <w:rPr>
          <w:sz w:val="20"/>
          <w:szCs w:val="20"/>
        </w:rPr>
        <w:t>4</w:t>
      </w:r>
      <w:r w:rsidRPr="00F144AD">
        <w:rPr>
          <w:sz w:val="20"/>
          <w:szCs w:val="20"/>
        </w:rPr>
        <w:t xml:space="preserve">] to </w:t>
      </w:r>
      <w:proofErr w:type="spellStart"/>
      <w:r w:rsidRPr="00F144AD">
        <w:rPr>
          <w:sz w:val="20"/>
          <w:szCs w:val="20"/>
        </w:rPr>
        <w:t>provide</w:t>
      </w:r>
      <w:proofErr w:type="spellEnd"/>
      <w:r w:rsidRPr="00F144AD">
        <w:rPr>
          <w:sz w:val="20"/>
          <w:szCs w:val="20"/>
        </w:rPr>
        <w:t xml:space="preserve"> </w:t>
      </w:r>
      <w:proofErr w:type="spellStart"/>
      <w:r w:rsidRPr="00F144AD">
        <w:rPr>
          <w:sz w:val="20"/>
          <w:szCs w:val="20"/>
        </w:rPr>
        <w:t>higher</w:t>
      </w:r>
      <w:proofErr w:type="spellEnd"/>
      <w:r w:rsidRPr="00F144AD">
        <w:rPr>
          <w:sz w:val="20"/>
          <w:szCs w:val="20"/>
        </w:rPr>
        <w:t xml:space="preserve"> </w:t>
      </w:r>
      <w:proofErr w:type="spellStart"/>
      <w:r w:rsidRPr="00F144AD">
        <w:rPr>
          <w:sz w:val="20"/>
          <w:szCs w:val="20"/>
        </w:rPr>
        <w:t>possible</w:t>
      </w:r>
      <w:proofErr w:type="spellEnd"/>
      <w:r w:rsidRPr="00F144AD">
        <w:rPr>
          <w:sz w:val="20"/>
          <w:szCs w:val="20"/>
        </w:rPr>
        <w:t xml:space="preserve"> </w:t>
      </w:r>
      <w:proofErr w:type="spellStart"/>
      <w:r w:rsidRPr="00F144AD">
        <w:rPr>
          <w:sz w:val="20"/>
          <w:szCs w:val="20"/>
        </w:rPr>
        <w:t>positioning</w:t>
      </w:r>
      <w:proofErr w:type="spellEnd"/>
      <w:r w:rsidRPr="00F144AD">
        <w:rPr>
          <w:sz w:val="20"/>
          <w:szCs w:val="20"/>
        </w:rPr>
        <w:t xml:space="preserve"> </w:t>
      </w:r>
      <w:proofErr w:type="spellStart"/>
      <w:r w:rsidRPr="00F144AD">
        <w:rPr>
          <w:sz w:val="20"/>
          <w:szCs w:val="20"/>
        </w:rPr>
        <w:t>accuracies</w:t>
      </w:r>
      <w:proofErr w:type="spellEnd"/>
      <w:r w:rsidRPr="00F144AD">
        <w:rPr>
          <w:sz w:val="20"/>
          <w:szCs w:val="20"/>
        </w:rPr>
        <w:t xml:space="preserve">. </w:t>
      </w:r>
      <w:proofErr w:type="spellStart"/>
      <w:r w:rsidRPr="00F144AD">
        <w:rPr>
          <w:sz w:val="20"/>
          <w:szCs w:val="20"/>
        </w:rPr>
        <w:t>Correspondingly</w:t>
      </w:r>
      <w:proofErr w:type="spellEnd"/>
      <w:r w:rsidRPr="00F144AD">
        <w:rPr>
          <w:sz w:val="20"/>
          <w:szCs w:val="20"/>
        </w:rPr>
        <w:t xml:space="preserve"> </w:t>
      </w:r>
      <w:proofErr w:type="spellStart"/>
      <w:r w:rsidRPr="00F144AD">
        <w:rPr>
          <w:sz w:val="20"/>
          <w:szCs w:val="20"/>
        </w:rPr>
        <w:t>the</w:t>
      </w:r>
      <w:proofErr w:type="spellEnd"/>
      <w:r w:rsidRPr="00F144AD">
        <w:rPr>
          <w:sz w:val="20"/>
          <w:szCs w:val="20"/>
        </w:rPr>
        <w:t xml:space="preserve"> SCS </w:t>
      </w:r>
      <w:proofErr w:type="spellStart"/>
      <w:r w:rsidRPr="00F144AD">
        <w:rPr>
          <w:sz w:val="20"/>
          <w:szCs w:val="20"/>
        </w:rPr>
        <w:t>settings</w:t>
      </w:r>
      <w:proofErr w:type="spellEnd"/>
      <w:r w:rsidRPr="00F144AD">
        <w:rPr>
          <w:sz w:val="20"/>
          <w:szCs w:val="20"/>
        </w:rPr>
        <w:t xml:space="preserve"> </w:t>
      </w:r>
      <w:proofErr w:type="spellStart"/>
      <w:r w:rsidRPr="00F144AD">
        <w:rPr>
          <w:sz w:val="20"/>
          <w:szCs w:val="20"/>
        </w:rPr>
        <w:t>used</w:t>
      </w:r>
      <w:proofErr w:type="spellEnd"/>
      <w:r w:rsidRPr="00F144AD">
        <w:rPr>
          <w:sz w:val="20"/>
          <w:szCs w:val="20"/>
        </w:rPr>
        <w:t xml:space="preserve"> for </w:t>
      </w:r>
      <w:proofErr w:type="spellStart"/>
      <w:r w:rsidRPr="00F144AD">
        <w:rPr>
          <w:sz w:val="20"/>
          <w:szCs w:val="20"/>
        </w:rPr>
        <w:t>those</w:t>
      </w:r>
      <w:proofErr w:type="spellEnd"/>
      <w:r w:rsidRPr="00F144AD">
        <w:rPr>
          <w:sz w:val="20"/>
          <w:szCs w:val="20"/>
        </w:rPr>
        <w:t xml:space="preserve"> </w:t>
      </w:r>
      <w:proofErr w:type="spellStart"/>
      <w:r w:rsidRPr="00F144AD">
        <w:rPr>
          <w:sz w:val="20"/>
          <w:szCs w:val="20"/>
        </w:rPr>
        <w:t>bandwidths</w:t>
      </w:r>
      <w:proofErr w:type="spellEnd"/>
      <w:r w:rsidRPr="00F144AD">
        <w:rPr>
          <w:sz w:val="20"/>
          <w:szCs w:val="20"/>
        </w:rPr>
        <w:t xml:space="preserve"> </w:t>
      </w:r>
      <w:proofErr w:type="spellStart"/>
      <w:r w:rsidRPr="00F144AD">
        <w:rPr>
          <w:sz w:val="20"/>
          <w:szCs w:val="20"/>
        </w:rPr>
        <w:t>should</w:t>
      </w:r>
      <w:proofErr w:type="spellEnd"/>
      <w:r w:rsidRPr="00F144AD">
        <w:rPr>
          <w:sz w:val="20"/>
          <w:szCs w:val="20"/>
        </w:rPr>
        <w:t xml:space="preserve"> </w:t>
      </w:r>
      <w:proofErr w:type="spellStart"/>
      <w:r w:rsidRPr="00F144AD">
        <w:rPr>
          <w:sz w:val="20"/>
          <w:szCs w:val="20"/>
        </w:rPr>
        <w:t>be</w:t>
      </w:r>
      <w:proofErr w:type="spellEnd"/>
      <w:r w:rsidRPr="00F144AD">
        <w:rPr>
          <w:sz w:val="20"/>
          <w:szCs w:val="20"/>
        </w:rPr>
        <w:t xml:space="preserve"> </w:t>
      </w:r>
      <w:proofErr w:type="spellStart"/>
      <w:r w:rsidRPr="00F144AD">
        <w:rPr>
          <w:sz w:val="20"/>
          <w:szCs w:val="20"/>
        </w:rPr>
        <w:t>supported</w:t>
      </w:r>
      <w:proofErr w:type="spellEnd"/>
      <w:r w:rsidRPr="00F144AD">
        <w:rPr>
          <w:sz w:val="20"/>
          <w:szCs w:val="20"/>
        </w:rPr>
        <w:t xml:space="preserve"> for </w:t>
      </w:r>
      <w:proofErr w:type="spellStart"/>
      <w:r w:rsidRPr="00F144AD">
        <w:rPr>
          <w:sz w:val="20"/>
          <w:szCs w:val="20"/>
        </w:rPr>
        <w:t>the</w:t>
      </w:r>
      <w:proofErr w:type="spellEnd"/>
      <w:r w:rsidRPr="00F144AD">
        <w:rPr>
          <w:sz w:val="20"/>
          <w:szCs w:val="20"/>
        </w:rPr>
        <w:t xml:space="preserve"> NR PRS. </w:t>
      </w:r>
    </w:p>
    <w:p w14:paraId="6EF76C17" w14:textId="21C9E20D" w:rsidR="00DD594A" w:rsidRDefault="00DD594A" w:rsidP="00DD594A">
      <w:r w:rsidRPr="00A04263">
        <w:rPr>
          <w:b/>
          <w:bCs/>
        </w:rPr>
        <w:t xml:space="preserve">Proposal </w:t>
      </w:r>
      <w:r w:rsidR="00FF5428">
        <w:rPr>
          <w:b/>
          <w:bCs/>
        </w:rPr>
        <w:t>1</w:t>
      </w:r>
      <w:r>
        <w:t xml:space="preserve">: At least the bandwidths and associated SCS in </w:t>
      </w:r>
      <w:r w:rsidR="00783657">
        <w:t>T</w:t>
      </w:r>
      <w:r>
        <w:t>able</w:t>
      </w:r>
      <w:r w:rsidR="00783657">
        <w:t xml:space="preserve"> 1</w:t>
      </w:r>
      <w:r>
        <w:t xml:space="preserve"> should be supported for NR PRS</w:t>
      </w:r>
      <w:r w:rsidR="00D77603">
        <w:t>.</w:t>
      </w:r>
    </w:p>
    <w:p w14:paraId="33935C50" w14:textId="5B82504D" w:rsidR="00783657" w:rsidRDefault="00783657" w:rsidP="00674CA6">
      <w:pPr>
        <w:jc w:val="center"/>
      </w:pPr>
      <w:r>
        <w:t>Table 1</w:t>
      </w:r>
    </w:p>
    <w:tbl>
      <w:tblPr>
        <w:tblStyle w:val="TableGrid"/>
        <w:tblW w:w="0" w:type="auto"/>
        <w:tblLook w:val="04A0" w:firstRow="1" w:lastRow="0" w:firstColumn="1" w:lastColumn="0" w:noHBand="0" w:noVBand="1"/>
      </w:tblPr>
      <w:tblGrid>
        <w:gridCol w:w="3209"/>
        <w:gridCol w:w="3210"/>
        <w:gridCol w:w="3210"/>
      </w:tblGrid>
      <w:tr w:rsidR="00DD594A" w14:paraId="5B9426A0" w14:textId="77777777" w:rsidTr="00DD594A">
        <w:tc>
          <w:tcPr>
            <w:tcW w:w="3209" w:type="dxa"/>
          </w:tcPr>
          <w:p w14:paraId="07B10F90" w14:textId="31EA3059" w:rsidR="00DD594A" w:rsidRPr="00DD594A" w:rsidRDefault="00DD594A" w:rsidP="00DD594A">
            <w:pPr>
              <w:rPr>
                <w:b/>
              </w:rPr>
            </w:pPr>
            <w:r w:rsidRPr="00DD594A">
              <w:rPr>
                <w:b/>
              </w:rPr>
              <w:t>Frequency Range</w:t>
            </w:r>
          </w:p>
        </w:tc>
        <w:tc>
          <w:tcPr>
            <w:tcW w:w="3210" w:type="dxa"/>
          </w:tcPr>
          <w:p w14:paraId="2EAEB326" w14:textId="66D61A34" w:rsidR="00DD594A" w:rsidRPr="00DD594A" w:rsidRDefault="00DD594A" w:rsidP="00DD594A">
            <w:pPr>
              <w:rPr>
                <w:b/>
              </w:rPr>
            </w:pPr>
            <w:r w:rsidRPr="00DD594A">
              <w:rPr>
                <w:b/>
              </w:rPr>
              <w:t>Bandwidth (MHz)</w:t>
            </w:r>
          </w:p>
        </w:tc>
        <w:tc>
          <w:tcPr>
            <w:tcW w:w="3210" w:type="dxa"/>
          </w:tcPr>
          <w:p w14:paraId="7F1B763E" w14:textId="56B9906B" w:rsidR="00DD594A" w:rsidRPr="00DD594A" w:rsidRDefault="00DD594A" w:rsidP="00DD594A">
            <w:pPr>
              <w:rPr>
                <w:b/>
              </w:rPr>
            </w:pPr>
            <w:r w:rsidRPr="00DD594A">
              <w:rPr>
                <w:b/>
              </w:rPr>
              <w:t>SCS (kHz)</w:t>
            </w:r>
          </w:p>
        </w:tc>
      </w:tr>
      <w:tr w:rsidR="00DD594A" w14:paraId="2EA1266C" w14:textId="77777777" w:rsidTr="00DD594A">
        <w:tc>
          <w:tcPr>
            <w:tcW w:w="3209" w:type="dxa"/>
          </w:tcPr>
          <w:p w14:paraId="5D9ABCF0" w14:textId="2ED26011" w:rsidR="00DD594A" w:rsidRDefault="00DD594A" w:rsidP="00DD594A">
            <w:r>
              <w:t>FR1</w:t>
            </w:r>
          </w:p>
        </w:tc>
        <w:tc>
          <w:tcPr>
            <w:tcW w:w="3210" w:type="dxa"/>
          </w:tcPr>
          <w:p w14:paraId="144F23D9" w14:textId="1E0D36F5" w:rsidR="00DD594A" w:rsidRDefault="00DD594A" w:rsidP="00DD594A">
            <w:r>
              <w:t>5</w:t>
            </w:r>
          </w:p>
        </w:tc>
        <w:tc>
          <w:tcPr>
            <w:tcW w:w="3210" w:type="dxa"/>
          </w:tcPr>
          <w:p w14:paraId="3B1EFB72" w14:textId="0A0E665A" w:rsidR="00DD594A" w:rsidRDefault="00DD594A" w:rsidP="00DD594A">
            <w:r>
              <w:t>15</w:t>
            </w:r>
          </w:p>
        </w:tc>
      </w:tr>
      <w:tr w:rsidR="00DD594A" w14:paraId="582B9BBA" w14:textId="77777777" w:rsidTr="00DD594A">
        <w:tc>
          <w:tcPr>
            <w:tcW w:w="3209" w:type="dxa"/>
          </w:tcPr>
          <w:p w14:paraId="774BC730" w14:textId="13727FDF" w:rsidR="00DD594A" w:rsidRDefault="00DD594A" w:rsidP="00DD594A">
            <w:r>
              <w:t>FR1</w:t>
            </w:r>
          </w:p>
        </w:tc>
        <w:tc>
          <w:tcPr>
            <w:tcW w:w="3210" w:type="dxa"/>
          </w:tcPr>
          <w:p w14:paraId="312560FE" w14:textId="76C8F5DC" w:rsidR="00DD594A" w:rsidRDefault="00DD594A" w:rsidP="00DD594A">
            <w:r>
              <w:t>50</w:t>
            </w:r>
          </w:p>
        </w:tc>
        <w:tc>
          <w:tcPr>
            <w:tcW w:w="3210" w:type="dxa"/>
          </w:tcPr>
          <w:p w14:paraId="0206C120" w14:textId="3A12C8CD" w:rsidR="00DD594A" w:rsidRDefault="00DD594A" w:rsidP="00DD594A">
            <w:r>
              <w:t>30</w:t>
            </w:r>
          </w:p>
        </w:tc>
      </w:tr>
      <w:tr w:rsidR="00DD594A" w14:paraId="4549FD83" w14:textId="77777777" w:rsidTr="00DD594A">
        <w:tc>
          <w:tcPr>
            <w:tcW w:w="3209" w:type="dxa"/>
          </w:tcPr>
          <w:p w14:paraId="1C0203C5" w14:textId="72DFD145" w:rsidR="00DD594A" w:rsidRDefault="00DD594A" w:rsidP="00DD594A">
            <w:r>
              <w:t>FR1</w:t>
            </w:r>
          </w:p>
        </w:tc>
        <w:tc>
          <w:tcPr>
            <w:tcW w:w="3210" w:type="dxa"/>
          </w:tcPr>
          <w:p w14:paraId="145754D7" w14:textId="63722368" w:rsidR="00DD594A" w:rsidRDefault="00DD594A" w:rsidP="00DD594A">
            <w:r>
              <w:t>100</w:t>
            </w:r>
          </w:p>
        </w:tc>
        <w:tc>
          <w:tcPr>
            <w:tcW w:w="3210" w:type="dxa"/>
          </w:tcPr>
          <w:p w14:paraId="755E7F63" w14:textId="224D949A" w:rsidR="00DD594A" w:rsidRDefault="00DD594A" w:rsidP="00DD594A">
            <w:r>
              <w:t>30</w:t>
            </w:r>
          </w:p>
        </w:tc>
      </w:tr>
      <w:tr w:rsidR="00DD594A" w14:paraId="3B962369" w14:textId="77777777" w:rsidTr="00DD594A">
        <w:tc>
          <w:tcPr>
            <w:tcW w:w="3209" w:type="dxa"/>
          </w:tcPr>
          <w:p w14:paraId="428F70DE" w14:textId="7D4C0440" w:rsidR="00DD594A" w:rsidRDefault="00DD594A" w:rsidP="00DD594A">
            <w:r>
              <w:t>FR2</w:t>
            </w:r>
          </w:p>
        </w:tc>
        <w:tc>
          <w:tcPr>
            <w:tcW w:w="3210" w:type="dxa"/>
          </w:tcPr>
          <w:p w14:paraId="13E9CC2B" w14:textId="4F8B3D2F" w:rsidR="00DD594A" w:rsidRDefault="00DD594A" w:rsidP="00DD594A">
            <w:r>
              <w:t>100</w:t>
            </w:r>
          </w:p>
        </w:tc>
        <w:tc>
          <w:tcPr>
            <w:tcW w:w="3210" w:type="dxa"/>
          </w:tcPr>
          <w:p w14:paraId="0B4A4718" w14:textId="7FFA5523" w:rsidR="00DD594A" w:rsidRDefault="00DD594A" w:rsidP="00DD594A">
            <w:r>
              <w:t>120</w:t>
            </w:r>
          </w:p>
        </w:tc>
      </w:tr>
      <w:tr w:rsidR="00DD594A" w14:paraId="4FE4E0CC" w14:textId="77777777" w:rsidTr="00DD594A">
        <w:tc>
          <w:tcPr>
            <w:tcW w:w="3209" w:type="dxa"/>
          </w:tcPr>
          <w:p w14:paraId="14BDFD43" w14:textId="0FCE8ECD" w:rsidR="00DD594A" w:rsidRDefault="00DD594A" w:rsidP="00DD594A">
            <w:r>
              <w:t>FR2</w:t>
            </w:r>
          </w:p>
        </w:tc>
        <w:tc>
          <w:tcPr>
            <w:tcW w:w="3210" w:type="dxa"/>
          </w:tcPr>
          <w:p w14:paraId="57A99F66" w14:textId="0F6F00C2" w:rsidR="00DD594A" w:rsidRDefault="00DD594A" w:rsidP="00DD594A">
            <w:r>
              <w:t>400</w:t>
            </w:r>
          </w:p>
        </w:tc>
        <w:tc>
          <w:tcPr>
            <w:tcW w:w="3210" w:type="dxa"/>
          </w:tcPr>
          <w:p w14:paraId="2154DE67" w14:textId="24CDADF4" w:rsidR="00DD594A" w:rsidRDefault="00DD594A" w:rsidP="00DD594A">
            <w:r>
              <w:t>120</w:t>
            </w:r>
          </w:p>
        </w:tc>
      </w:tr>
    </w:tbl>
    <w:p w14:paraId="2EFD6E7B" w14:textId="77777777" w:rsidR="00F144AD" w:rsidRDefault="00F144AD" w:rsidP="00F144AD">
      <w:pPr>
        <w:pStyle w:val="ListParagraph"/>
        <w:numPr>
          <w:ilvl w:val="0"/>
          <w:numId w:val="19"/>
        </w:numPr>
        <w:spacing w:afterLines="50" w:after="120"/>
        <w:contextualSpacing w:val="0"/>
        <w:jc w:val="both"/>
      </w:pPr>
      <w:r w:rsidRPr="00141993">
        <w:rPr>
          <w:sz w:val="20"/>
          <w:szCs w:val="20"/>
        </w:rPr>
        <w:lastRenderedPageBreak/>
        <w:t>How/</w:t>
      </w:r>
      <w:proofErr w:type="spellStart"/>
      <w:r w:rsidRPr="00141993">
        <w:rPr>
          <w:sz w:val="20"/>
          <w:szCs w:val="20"/>
        </w:rPr>
        <w:t>whether</w:t>
      </w:r>
      <w:proofErr w:type="spellEnd"/>
      <w:r w:rsidRPr="00141993">
        <w:rPr>
          <w:sz w:val="20"/>
          <w:szCs w:val="20"/>
        </w:rPr>
        <w:t xml:space="preserve"> to </w:t>
      </w:r>
      <w:proofErr w:type="spellStart"/>
      <w:r w:rsidRPr="00141993">
        <w:rPr>
          <w:sz w:val="20"/>
          <w:szCs w:val="20"/>
        </w:rPr>
        <w:t>control</w:t>
      </w:r>
      <w:proofErr w:type="spellEnd"/>
      <w:r w:rsidRPr="00141993">
        <w:rPr>
          <w:sz w:val="20"/>
          <w:szCs w:val="20"/>
        </w:rPr>
        <w:t xml:space="preserve"> DL PRS </w:t>
      </w:r>
      <w:proofErr w:type="spellStart"/>
      <w:r w:rsidRPr="00141993">
        <w:rPr>
          <w:sz w:val="20"/>
          <w:szCs w:val="20"/>
        </w:rPr>
        <w:t>numerologies</w:t>
      </w:r>
      <w:proofErr w:type="spellEnd"/>
      <w:r w:rsidRPr="00141993">
        <w:rPr>
          <w:sz w:val="20"/>
          <w:szCs w:val="20"/>
        </w:rPr>
        <w:t xml:space="preserve"> </w:t>
      </w:r>
      <w:proofErr w:type="spellStart"/>
      <w:r w:rsidRPr="00141993">
        <w:rPr>
          <w:sz w:val="20"/>
          <w:szCs w:val="20"/>
        </w:rPr>
        <w:t>from</w:t>
      </w:r>
      <w:proofErr w:type="spellEnd"/>
      <w:r w:rsidRPr="00141993">
        <w:rPr>
          <w:sz w:val="20"/>
          <w:szCs w:val="20"/>
        </w:rPr>
        <w:t xml:space="preserve"> </w:t>
      </w:r>
      <w:proofErr w:type="spellStart"/>
      <w:r w:rsidRPr="00141993">
        <w:rPr>
          <w:sz w:val="20"/>
          <w:szCs w:val="20"/>
        </w:rPr>
        <w:t>multiple</w:t>
      </w:r>
      <w:proofErr w:type="spellEnd"/>
      <w:r w:rsidRPr="00141993">
        <w:rPr>
          <w:sz w:val="20"/>
          <w:szCs w:val="20"/>
        </w:rPr>
        <w:t xml:space="preserve"> </w:t>
      </w:r>
      <w:proofErr w:type="spellStart"/>
      <w:r w:rsidRPr="00141993">
        <w:rPr>
          <w:sz w:val="20"/>
          <w:szCs w:val="20"/>
        </w:rPr>
        <w:t>nodes</w:t>
      </w:r>
      <w:proofErr w:type="spellEnd"/>
      <w:r w:rsidRPr="00141993">
        <w:rPr>
          <w:sz w:val="20"/>
          <w:szCs w:val="20"/>
        </w:rPr>
        <w:t>?</w:t>
      </w:r>
    </w:p>
    <w:p w14:paraId="4B84238C" w14:textId="77777777" w:rsidR="00F144AD" w:rsidRPr="00C50B92" w:rsidRDefault="00F144AD" w:rsidP="00F144AD">
      <w:pPr>
        <w:pStyle w:val="ListParagraph"/>
        <w:spacing w:afterLines="50" w:after="120"/>
        <w:ind w:left="360"/>
        <w:contextualSpacing w:val="0"/>
        <w:jc w:val="both"/>
      </w:pPr>
      <w:r w:rsidRPr="00141993">
        <w:rPr>
          <w:sz w:val="20"/>
          <w:szCs w:val="20"/>
        </w:rPr>
        <w:t xml:space="preserve">As </w:t>
      </w:r>
      <w:proofErr w:type="spellStart"/>
      <w:r w:rsidRPr="00141993">
        <w:rPr>
          <w:sz w:val="20"/>
          <w:szCs w:val="20"/>
        </w:rPr>
        <w:t>different</w:t>
      </w:r>
      <w:proofErr w:type="spellEnd"/>
      <w:r w:rsidRPr="00141993">
        <w:rPr>
          <w:sz w:val="20"/>
          <w:szCs w:val="20"/>
        </w:rPr>
        <w:t xml:space="preserve"> </w:t>
      </w:r>
      <w:proofErr w:type="spellStart"/>
      <w:r w:rsidRPr="00141993">
        <w:rPr>
          <w:sz w:val="20"/>
          <w:szCs w:val="20"/>
        </w:rPr>
        <w:t>numerologies</w:t>
      </w:r>
      <w:proofErr w:type="spellEnd"/>
      <w:r w:rsidRPr="00141993">
        <w:rPr>
          <w:sz w:val="20"/>
          <w:szCs w:val="20"/>
        </w:rPr>
        <w:t xml:space="preserve"> </w:t>
      </w:r>
      <w:proofErr w:type="spellStart"/>
      <w:r w:rsidRPr="00141993">
        <w:rPr>
          <w:sz w:val="20"/>
          <w:szCs w:val="20"/>
        </w:rPr>
        <w:t>have</w:t>
      </w:r>
      <w:proofErr w:type="spellEnd"/>
      <w:r w:rsidRPr="00141993">
        <w:rPr>
          <w:sz w:val="20"/>
          <w:szCs w:val="20"/>
        </w:rPr>
        <w:t xml:space="preserve"> </w:t>
      </w:r>
      <w:proofErr w:type="spellStart"/>
      <w:r w:rsidRPr="00141993">
        <w:rPr>
          <w:sz w:val="20"/>
          <w:szCs w:val="20"/>
        </w:rPr>
        <w:t>different</w:t>
      </w:r>
      <w:proofErr w:type="spellEnd"/>
      <w:r w:rsidRPr="00141993">
        <w:rPr>
          <w:sz w:val="20"/>
          <w:szCs w:val="20"/>
        </w:rPr>
        <w:t xml:space="preserve"> </w:t>
      </w:r>
      <w:r w:rsidRPr="00C02E29">
        <w:rPr>
          <w:sz w:val="20"/>
          <w:szCs w:val="20"/>
          <w:lang w:val="en-US"/>
        </w:rPr>
        <w:t>subcarrier spacing and symbol duration,</w:t>
      </w:r>
      <w:r w:rsidRPr="00141993">
        <w:rPr>
          <w:sz w:val="20"/>
          <w:szCs w:val="20"/>
        </w:rPr>
        <w:t xml:space="preserve"> </w:t>
      </w:r>
      <w:proofErr w:type="spellStart"/>
      <w:r w:rsidRPr="00141993">
        <w:rPr>
          <w:sz w:val="20"/>
          <w:szCs w:val="20"/>
        </w:rPr>
        <w:t>how</w:t>
      </w:r>
      <w:proofErr w:type="spellEnd"/>
      <w:r w:rsidRPr="00141993">
        <w:rPr>
          <w:sz w:val="20"/>
          <w:szCs w:val="20"/>
        </w:rPr>
        <w:t xml:space="preserve"> to </w:t>
      </w:r>
      <w:proofErr w:type="spellStart"/>
      <w:r w:rsidRPr="00141993">
        <w:rPr>
          <w:sz w:val="20"/>
          <w:szCs w:val="20"/>
        </w:rPr>
        <w:t>support</w:t>
      </w:r>
      <w:proofErr w:type="spellEnd"/>
      <w:r w:rsidRPr="00141993">
        <w:rPr>
          <w:sz w:val="20"/>
          <w:szCs w:val="20"/>
        </w:rPr>
        <w:t xml:space="preserve"> PRS transmission </w:t>
      </w:r>
      <w:proofErr w:type="spellStart"/>
      <w:r w:rsidRPr="00141993">
        <w:rPr>
          <w:sz w:val="20"/>
          <w:szCs w:val="20"/>
        </w:rPr>
        <w:t>from</w:t>
      </w:r>
      <w:proofErr w:type="spellEnd"/>
      <w:r w:rsidRPr="00141993">
        <w:rPr>
          <w:sz w:val="20"/>
          <w:szCs w:val="20"/>
        </w:rPr>
        <w:t xml:space="preserve"> </w:t>
      </w:r>
      <w:proofErr w:type="spellStart"/>
      <w:r w:rsidRPr="00141993">
        <w:rPr>
          <w:sz w:val="20"/>
          <w:szCs w:val="20"/>
        </w:rPr>
        <w:t>different</w:t>
      </w:r>
      <w:proofErr w:type="spellEnd"/>
      <w:r w:rsidRPr="00141993">
        <w:rPr>
          <w:sz w:val="20"/>
          <w:szCs w:val="20"/>
        </w:rPr>
        <w:t xml:space="preserve"> gNBs (</w:t>
      </w:r>
      <w:proofErr w:type="spellStart"/>
      <w:r w:rsidRPr="00141993">
        <w:rPr>
          <w:sz w:val="20"/>
          <w:szCs w:val="20"/>
        </w:rPr>
        <w:t>with</w:t>
      </w:r>
      <w:proofErr w:type="spellEnd"/>
      <w:r w:rsidRPr="00141993">
        <w:rPr>
          <w:sz w:val="20"/>
          <w:szCs w:val="20"/>
        </w:rPr>
        <w:t xml:space="preserve"> </w:t>
      </w:r>
      <w:proofErr w:type="spellStart"/>
      <w:r w:rsidRPr="00141993">
        <w:rPr>
          <w:sz w:val="20"/>
          <w:szCs w:val="20"/>
        </w:rPr>
        <w:t>potential</w:t>
      </w:r>
      <w:proofErr w:type="spellEnd"/>
      <w:r w:rsidRPr="00141993">
        <w:rPr>
          <w:sz w:val="20"/>
          <w:szCs w:val="20"/>
        </w:rPr>
        <w:t xml:space="preserve"> </w:t>
      </w:r>
      <w:proofErr w:type="spellStart"/>
      <w:r w:rsidRPr="00141993">
        <w:rPr>
          <w:sz w:val="20"/>
          <w:szCs w:val="20"/>
        </w:rPr>
        <w:t>different</w:t>
      </w:r>
      <w:proofErr w:type="spellEnd"/>
      <w:r w:rsidRPr="00141993">
        <w:rPr>
          <w:sz w:val="20"/>
          <w:szCs w:val="20"/>
        </w:rPr>
        <w:t xml:space="preserve"> </w:t>
      </w:r>
      <w:proofErr w:type="spellStart"/>
      <w:r w:rsidRPr="00141993">
        <w:rPr>
          <w:sz w:val="20"/>
          <w:szCs w:val="20"/>
        </w:rPr>
        <w:t>numerologies</w:t>
      </w:r>
      <w:proofErr w:type="spellEnd"/>
      <w:r w:rsidRPr="00141993">
        <w:rPr>
          <w:sz w:val="20"/>
          <w:szCs w:val="20"/>
        </w:rPr>
        <w:t xml:space="preserve">) </w:t>
      </w:r>
      <w:proofErr w:type="spellStart"/>
      <w:r w:rsidRPr="00141993">
        <w:rPr>
          <w:sz w:val="20"/>
          <w:szCs w:val="20"/>
        </w:rPr>
        <w:t>multiplexed</w:t>
      </w:r>
      <w:proofErr w:type="spellEnd"/>
      <w:r w:rsidRPr="00141993">
        <w:rPr>
          <w:sz w:val="20"/>
          <w:szCs w:val="20"/>
        </w:rPr>
        <w:t xml:space="preserve"> in </w:t>
      </w:r>
      <w:proofErr w:type="spellStart"/>
      <w:r w:rsidRPr="00141993">
        <w:rPr>
          <w:sz w:val="20"/>
          <w:szCs w:val="20"/>
        </w:rPr>
        <w:t>the</w:t>
      </w:r>
      <w:proofErr w:type="spellEnd"/>
      <w:r w:rsidRPr="00141993">
        <w:rPr>
          <w:sz w:val="20"/>
          <w:szCs w:val="20"/>
        </w:rPr>
        <w:t xml:space="preserve"> </w:t>
      </w:r>
      <w:proofErr w:type="spellStart"/>
      <w:r w:rsidRPr="00141993">
        <w:rPr>
          <w:sz w:val="20"/>
          <w:szCs w:val="20"/>
        </w:rPr>
        <w:t>same</w:t>
      </w:r>
      <w:proofErr w:type="spellEnd"/>
      <w:r w:rsidRPr="00141993">
        <w:rPr>
          <w:sz w:val="20"/>
          <w:szCs w:val="20"/>
        </w:rPr>
        <w:t xml:space="preserve"> PRS </w:t>
      </w:r>
      <w:proofErr w:type="spellStart"/>
      <w:r w:rsidRPr="00141993">
        <w:rPr>
          <w:sz w:val="20"/>
          <w:szCs w:val="20"/>
        </w:rPr>
        <w:t>occasion</w:t>
      </w:r>
      <w:proofErr w:type="spellEnd"/>
      <w:r w:rsidRPr="00141993">
        <w:rPr>
          <w:sz w:val="20"/>
          <w:szCs w:val="20"/>
        </w:rPr>
        <w:t xml:space="preserve"> </w:t>
      </w:r>
      <w:proofErr w:type="spellStart"/>
      <w:r w:rsidRPr="00141993">
        <w:rPr>
          <w:sz w:val="20"/>
          <w:szCs w:val="20"/>
        </w:rPr>
        <w:t>becomes</w:t>
      </w:r>
      <w:proofErr w:type="spellEnd"/>
      <w:r w:rsidRPr="00141993">
        <w:rPr>
          <w:sz w:val="20"/>
          <w:szCs w:val="20"/>
        </w:rPr>
        <w:t xml:space="preserve"> an </w:t>
      </w:r>
      <w:proofErr w:type="spellStart"/>
      <w:r w:rsidRPr="00141993">
        <w:rPr>
          <w:sz w:val="20"/>
          <w:szCs w:val="20"/>
        </w:rPr>
        <w:t>issue</w:t>
      </w:r>
      <w:proofErr w:type="spellEnd"/>
      <w:r w:rsidRPr="00141993">
        <w:rPr>
          <w:sz w:val="20"/>
          <w:szCs w:val="20"/>
        </w:rPr>
        <w:t xml:space="preserve">. </w:t>
      </w:r>
      <w:proofErr w:type="spellStart"/>
      <w:r w:rsidRPr="00141993">
        <w:rPr>
          <w:sz w:val="20"/>
          <w:szCs w:val="20"/>
        </w:rPr>
        <w:t>The</w:t>
      </w:r>
      <w:proofErr w:type="spellEnd"/>
      <w:r w:rsidRPr="00141993">
        <w:rPr>
          <w:sz w:val="20"/>
          <w:szCs w:val="20"/>
        </w:rPr>
        <w:t xml:space="preserve"> </w:t>
      </w:r>
      <w:proofErr w:type="spellStart"/>
      <w:r w:rsidRPr="00141993">
        <w:rPr>
          <w:sz w:val="20"/>
          <w:szCs w:val="20"/>
        </w:rPr>
        <w:t>most</w:t>
      </w:r>
      <w:proofErr w:type="spellEnd"/>
      <w:r w:rsidRPr="00141993">
        <w:rPr>
          <w:sz w:val="20"/>
          <w:szCs w:val="20"/>
        </w:rPr>
        <w:t xml:space="preserve"> </w:t>
      </w:r>
      <w:proofErr w:type="spellStart"/>
      <w:r w:rsidRPr="00141993">
        <w:rPr>
          <w:sz w:val="20"/>
          <w:szCs w:val="20"/>
        </w:rPr>
        <w:t>straightforward</w:t>
      </w:r>
      <w:proofErr w:type="spellEnd"/>
      <w:r w:rsidRPr="00141993">
        <w:rPr>
          <w:sz w:val="20"/>
          <w:szCs w:val="20"/>
        </w:rPr>
        <w:t xml:space="preserve"> </w:t>
      </w:r>
      <w:proofErr w:type="spellStart"/>
      <w:r w:rsidRPr="00141993">
        <w:rPr>
          <w:sz w:val="20"/>
          <w:szCs w:val="20"/>
        </w:rPr>
        <w:t>solution</w:t>
      </w:r>
      <w:proofErr w:type="spellEnd"/>
      <w:r w:rsidRPr="00141993">
        <w:rPr>
          <w:sz w:val="20"/>
          <w:szCs w:val="20"/>
        </w:rPr>
        <w:t xml:space="preserve"> is </w:t>
      </w:r>
      <w:proofErr w:type="spellStart"/>
      <w:r w:rsidRPr="00141993">
        <w:rPr>
          <w:sz w:val="20"/>
          <w:szCs w:val="20"/>
        </w:rPr>
        <w:t>using</w:t>
      </w:r>
      <w:proofErr w:type="spellEnd"/>
      <w:r w:rsidRPr="00141993">
        <w:rPr>
          <w:sz w:val="20"/>
          <w:szCs w:val="20"/>
        </w:rPr>
        <w:t xml:space="preserve"> </w:t>
      </w:r>
      <w:proofErr w:type="spellStart"/>
      <w:r w:rsidRPr="00141993">
        <w:rPr>
          <w:sz w:val="20"/>
          <w:szCs w:val="20"/>
        </w:rPr>
        <w:t>the</w:t>
      </w:r>
      <w:proofErr w:type="spellEnd"/>
      <w:r w:rsidRPr="00141993">
        <w:rPr>
          <w:sz w:val="20"/>
          <w:szCs w:val="20"/>
        </w:rPr>
        <w:t xml:space="preserve"> </w:t>
      </w:r>
      <w:proofErr w:type="spellStart"/>
      <w:r w:rsidRPr="00141993">
        <w:rPr>
          <w:sz w:val="20"/>
          <w:szCs w:val="20"/>
        </w:rPr>
        <w:t>same</w:t>
      </w:r>
      <w:proofErr w:type="spellEnd"/>
      <w:r w:rsidRPr="00141993">
        <w:rPr>
          <w:sz w:val="20"/>
          <w:szCs w:val="20"/>
        </w:rPr>
        <w:t xml:space="preserve"> </w:t>
      </w:r>
      <w:proofErr w:type="spellStart"/>
      <w:r w:rsidRPr="00141993">
        <w:rPr>
          <w:sz w:val="20"/>
          <w:szCs w:val="20"/>
        </w:rPr>
        <w:t>numerology</w:t>
      </w:r>
      <w:proofErr w:type="spellEnd"/>
      <w:r w:rsidRPr="00141993">
        <w:rPr>
          <w:sz w:val="20"/>
          <w:szCs w:val="20"/>
        </w:rPr>
        <w:t xml:space="preserve"> for PRS </w:t>
      </w:r>
      <w:proofErr w:type="spellStart"/>
      <w:r w:rsidRPr="00141993">
        <w:rPr>
          <w:sz w:val="20"/>
          <w:szCs w:val="20"/>
        </w:rPr>
        <w:t>transmissions</w:t>
      </w:r>
      <w:proofErr w:type="spellEnd"/>
      <w:r w:rsidRPr="00141993">
        <w:rPr>
          <w:sz w:val="20"/>
          <w:szCs w:val="20"/>
        </w:rPr>
        <w:t xml:space="preserve"> </w:t>
      </w:r>
      <w:proofErr w:type="spellStart"/>
      <w:r w:rsidRPr="00141993">
        <w:rPr>
          <w:sz w:val="20"/>
          <w:szCs w:val="20"/>
        </w:rPr>
        <w:t>from</w:t>
      </w:r>
      <w:proofErr w:type="spellEnd"/>
      <w:r w:rsidRPr="00141993">
        <w:rPr>
          <w:sz w:val="20"/>
          <w:szCs w:val="20"/>
        </w:rPr>
        <w:t xml:space="preserve"> </w:t>
      </w:r>
      <w:proofErr w:type="spellStart"/>
      <w:r w:rsidRPr="00141993">
        <w:rPr>
          <w:sz w:val="20"/>
          <w:szCs w:val="20"/>
        </w:rPr>
        <w:t>multiple</w:t>
      </w:r>
      <w:proofErr w:type="spellEnd"/>
      <w:r w:rsidRPr="00141993">
        <w:rPr>
          <w:sz w:val="20"/>
          <w:szCs w:val="20"/>
        </w:rPr>
        <w:t xml:space="preserve"> </w:t>
      </w:r>
      <w:proofErr w:type="spellStart"/>
      <w:r w:rsidRPr="00141993">
        <w:rPr>
          <w:sz w:val="20"/>
          <w:szCs w:val="20"/>
        </w:rPr>
        <w:t>base</w:t>
      </w:r>
      <w:proofErr w:type="spellEnd"/>
      <w:r w:rsidRPr="00141993">
        <w:rPr>
          <w:sz w:val="20"/>
          <w:szCs w:val="20"/>
        </w:rPr>
        <w:t xml:space="preserve"> </w:t>
      </w:r>
      <w:proofErr w:type="spellStart"/>
      <w:r w:rsidRPr="00141993">
        <w:rPr>
          <w:sz w:val="20"/>
          <w:szCs w:val="20"/>
        </w:rPr>
        <w:t>stations</w:t>
      </w:r>
      <w:proofErr w:type="spellEnd"/>
      <w:r w:rsidRPr="00141993">
        <w:rPr>
          <w:sz w:val="20"/>
          <w:szCs w:val="20"/>
        </w:rPr>
        <w:t xml:space="preserve">. </w:t>
      </w:r>
      <w:proofErr w:type="spellStart"/>
      <w:r w:rsidRPr="00141993">
        <w:rPr>
          <w:sz w:val="20"/>
          <w:szCs w:val="20"/>
        </w:rPr>
        <w:t>However</w:t>
      </w:r>
      <w:proofErr w:type="spellEnd"/>
      <w:r w:rsidRPr="00141993">
        <w:rPr>
          <w:sz w:val="20"/>
          <w:szCs w:val="20"/>
        </w:rPr>
        <w:t xml:space="preserve">, gNB </w:t>
      </w:r>
      <w:proofErr w:type="spellStart"/>
      <w:r w:rsidRPr="00141993">
        <w:rPr>
          <w:sz w:val="20"/>
          <w:szCs w:val="20"/>
        </w:rPr>
        <w:t>may</w:t>
      </w:r>
      <w:proofErr w:type="spellEnd"/>
      <w:r w:rsidRPr="00141993">
        <w:rPr>
          <w:sz w:val="20"/>
          <w:szCs w:val="20"/>
        </w:rPr>
        <w:t xml:space="preserve"> </w:t>
      </w:r>
      <w:proofErr w:type="spellStart"/>
      <w:r w:rsidRPr="00141993">
        <w:rPr>
          <w:sz w:val="20"/>
          <w:szCs w:val="20"/>
        </w:rPr>
        <w:t>work</w:t>
      </w:r>
      <w:proofErr w:type="spellEnd"/>
      <w:r w:rsidRPr="00141993">
        <w:rPr>
          <w:sz w:val="20"/>
          <w:szCs w:val="20"/>
        </w:rPr>
        <w:t xml:space="preserve"> on </w:t>
      </w:r>
      <w:proofErr w:type="spellStart"/>
      <w:r w:rsidRPr="00141993">
        <w:rPr>
          <w:sz w:val="20"/>
          <w:szCs w:val="20"/>
        </w:rPr>
        <w:t>different</w:t>
      </w:r>
      <w:proofErr w:type="spellEnd"/>
      <w:r w:rsidRPr="00141993">
        <w:rPr>
          <w:sz w:val="20"/>
          <w:szCs w:val="20"/>
        </w:rPr>
        <w:t xml:space="preserve"> </w:t>
      </w:r>
      <w:proofErr w:type="spellStart"/>
      <w:r w:rsidRPr="00141993">
        <w:rPr>
          <w:sz w:val="20"/>
          <w:szCs w:val="20"/>
        </w:rPr>
        <w:t>numerologies</w:t>
      </w:r>
      <w:proofErr w:type="spellEnd"/>
      <w:r w:rsidRPr="00141993">
        <w:rPr>
          <w:sz w:val="20"/>
          <w:szCs w:val="20"/>
        </w:rPr>
        <w:t xml:space="preserve"> </w:t>
      </w:r>
      <w:proofErr w:type="spellStart"/>
      <w:r w:rsidRPr="00141993">
        <w:rPr>
          <w:sz w:val="20"/>
          <w:szCs w:val="20"/>
        </w:rPr>
        <w:t>before</w:t>
      </w:r>
      <w:proofErr w:type="spellEnd"/>
      <w:r w:rsidRPr="00141993">
        <w:rPr>
          <w:sz w:val="20"/>
          <w:szCs w:val="20"/>
        </w:rPr>
        <w:t xml:space="preserve"> PRS transmission. </w:t>
      </w:r>
      <w:proofErr w:type="spellStart"/>
      <w:r w:rsidRPr="00141993">
        <w:rPr>
          <w:sz w:val="20"/>
          <w:szCs w:val="20"/>
        </w:rPr>
        <w:t>Additional</w:t>
      </w:r>
      <w:proofErr w:type="spellEnd"/>
      <w:r w:rsidRPr="00141993">
        <w:rPr>
          <w:sz w:val="20"/>
          <w:szCs w:val="20"/>
        </w:rPr>
        <w:t xml:space="preserve"> RF </w:t>
      </w:r>
      <w:proofErr w:type="spellStart"/>
      <w:r w:rsidRPr="00141993">
        <w:rPr>
          <w:sz w:val="20"/>
          <w:szCs w:val="20"/>
        </w:rPr>
        <w:t>switching</w:t>
      </w:r>
      <w:proofErr w:type="spellEnd"/>
      <w:r w:rsidRPr="00141993">
        <w:rPr>
          <w:sz w:val="20"/>
          <w:szCs w:val="20"/>
        </w:rPr>
        <w:t xml:space="preserve"> </w:t>
      </w:r>
      <w:proofErr w:type="spellStart"/>
      <w:r w:rsidRPr="00141993">
        <w:rPr>
          <w:sz w:val="20"/>
          <w:szCs w:val="20"/>
        </w:rPr>
        <w:t>may</w:t>
      </w:r>
      <w:proofErr w:type="spellEnd"/>
      <w:r w:rsidRPr="00141993">
        <w:rPr>
          <w:sz w:val="20"/>
          <w:szCs w:val="20"/>
        </w:rPr>
        <w:t xml:space="preserve"> </w:t>
      </w:r>
      <w:proofErr w:type="spellStart"/>
      <w:r w:rsidRPr="00141993">
        <w:rPr>
          <w:sz w:val="20"/>
          <w:szCs w:val="20"/>
        </w:rPr>
        <w:t>be</w:t>
      </w:r>
      <w:proofErr w:type="spellEnd"/>
      <w:r w:rsidRPr="00141993">
        <w:rPr>
          <w:sz w:val="20"/>
          <w:szCs w:val="20"/>
        </w:rPr>
        <w:t xml:space="preserve"> </w:t>
      </w:r>
      <w:proofErr w:type="spellStart"/>
      <w:r w:rsidRPr="00141993">
        <w:rPr>
          <w:sz w:val="20"/>
          <w:szCs w:val="20"/>
        </w:rPr>
        <w:t>required</w:t>
      </w:r>
      <w:proofErr w:type="spellEnd"/>
      <w:r w:rsidRPr="00141993">
        <w:rPr>
          <w:sz w:val="20"/>
          <w:szCs w:val="20"/>
        </w:rPr>
        <w:t xml:space="preserve"> for PRS transmission, </w:t>
      </w:r>
      <w:proofErr w:type="spellStart"/>
      <w:r w:rsidRPr="00141993">
        <w:rPr>
          <w:sz w:val="20"/>
          <w:szCs w:val="20"/>
        </w:rPr>
        <w:t>which</w:t>
      </w:r>
      <w:proofErr w:type="spellEnd"/>
      <w:r w:rsidRPr="00141993">
        <w:rPr>
          <w:sz w:val="20"/>
          <w:szCs w:val="20"/>
        </w:rPr>
        <w:t xml:space="preserve"> </w:t>
      </w:r>
      <w:proofErr w:type="spellStart"/>
      <w:r w:rsidRPr="00141993">
        <w:rPr>
          <w:sz w:val="20"/>
          <w:szCs w:val="20"/>
        </w:rPr>
        <w:t>brings</w:t>
      </w:r>
      <w:proofErr w:type="spellEnd"/>
      <w:r w:rsidRPr="00141993">
        <w:rPr>
          <w:sz w:val="20"/>
          <w:szCs w:val="20"/>
        </w:rPr>
        <w:t xml:space="preserve"> </w:t>
      </w:r>
      <w:proofErr w:type="spellStart"/>
      <w:r w:rsidRPr="00141993">
        <w:rPr>
          <w:sz w:val="20"/>
          <w:szCs w:val="20"/>
        </w:rPr>
        <w:t>additional</w:t>
      </w:r>
      <w:proofErr w:type="spellEnd"/>
      <w:r w:rsidRPr="00141993">
        <w:rPr>
          <w:sz w:val="20"/>
          <w:szCs w:val="20"/>
        </w:rPr>
        <w:t xml:space="preserve"> </w:t>
      </w:r>
      <w:proofErr w:type="spellStart"/>
      <w:r w:rsidRPr="00141993">
        <w:rPr>
          <w:sz w:val="20"/>
          <w:szCs w:val="20"/>
        </w:rPr>
        <w:t>complexity</w:t>
      </w:r>
      <w:proofErr w:type="spellEnd"/>
      <w:r w:rsidRPr="00141993">
        <w:rPr>
          <w:sz w:val="20"/>
          <w:szCs w:val="20"/>
        </w:rPr>
        <w:t xml:space="preserve"> and </w:t>
      </w:r>
      <w:proofErr w:type="spellStart"/>
      <w:r w:rsidRPr="00141993">
        <w:rPr>
          <w:sz w:val="20"/>
          <w:szCs w:val="20"/>
        </w:rPr>
        <w:t>delay</w:t>
      </w:r>
      <w:proofErr w:type="spellEnd"/>
      <w:r w:rsidRPr="00141993">
        <w:rPr>
          <w:sz w:val="20"/>
          <w:szCs w:val="20"/>
        </w:rPr>
        <w:t xml:space="preserve"> </w:t>
      </w:r>
      <w:proofErr w:type="spellStart"/>
      <w:r w:rsidRPr="00141993">
        <w:rPr>
          <w:sz w:val="20"/>
          <w:szCs w:val="20"/>
        </w:rPr>
        <w:t>not</w:t>
      </w:r>
      <w:proofErr w:type="spellEnd"/>
      <w:r w:rsidRPr="00141993">
        <w:rPr>
          <w:sz w:val="20"/>
          <w:szCs w:val="20"/>
        </w:rPr>
        <w:t xml:space="preserve"> </w:t>
      </w:r>
      <w:proofErr w:type="spellStart"/>
      <w:r w:rsidRPr="00141993">
        <w:rPr>
          <w:sz w:val="20"/>
          <w:szCs w:val="20"/>
        </w:rPr>
        <w:t>only</w:t>
      </w:r>
      <w:proofErr w:type="spellEnd"/>
      <w:r w:rsidRPr="00141993">
        <w:rPr>
          <w:sz w:val="20"/>
          <w:szCs w:val="20"/>
        </w:rPr>
        <w:t xml:space="preserve"> for PRS transmission, </w:t>
      </w:r>
      <w:proofErr w:type="spellStart"/>
      <w:r w:rsidRPr="00141993">
        <w:rPr>
          <w:sz w:val="20"/>
          <w:szCs w:val="20"/>
        </w:rPr>
        <w:t>but</w:t>
      </w:r>
      <w:proofErr w:type="spellEnd"/>
      <w:r w:rsidRPr="00141993">
        <w:rPr>
          <w:sz w:val="20"/>
          <w:szCs w:val="20"/>
        </w:rPr>
        <w:t xml:space="preserve"> </w:t>
      </w:r>
      <w:proofErr w:type="spellStart"/>
      <w:r w:rsidRPr="00141993">
        <w:rPr>
          <w:sz w:val="20"/>
          <w:szCs w:val="20"/>
        </w:rPr>
        <w:t>also</w:t>
      </w:r>
      <w:proofErr w:type="spellEnd"/>
      <w:r w:rsidRPr="00141993">
        <w:rPr>
          <w:sz w:val="20"/>
          <w:szCs w:val="20"/>
        </w:rPr>
        <w:t xml:space="preserve"> for </w:t>
      </w:r>
      <w:proofErr w:type="spellStart"/>
      <w:r w:rsidRPr="00141993">
        <w:rPr>
          <w:sz w:val="20"/>
          <w:szCs w:val="20"/>
        </w:rPr>
        <w:t>normal</w:t>
      </w:r>
      <w:proofErr w:type="spellEnd"/>
      <w:r w:rsidRPr="00141993">
        <w:rPr>
          <w:sz w:val="20"/>
          <w:szCs w:val="20"/>
        </w:rPr>
        <w:t xml:space="preserve"> </w:t>
      </w:r>
      <w:proofErr w:type="spellStart"/>
      <w:r w:rsidRPr="00141993">
        <w:rPr>
          <w:sz w:val="20"/>
          <w:szCs w:val="20"/>
        </w:rPr>
        <w:t>service</w:t>
      </w:r>
      <w:proofErr w:type="spellEnd"/>
      <w:r w:rsidRPr="00141993">
        <w:rPr>
          <w:sz w:val="20"/>
          <w:szCs w:val="20"/>
        </w:rPr>
        <w:t xml:space="preserve"> </w:t>
      </w:r>
      <w:proofErr w:type="spellStart"/>
      <w:r w:rsidRPr="00141993">
        <w:rPr>
          <w:sz w:val="20"/>
          <w:szCs w:val="20"/>
        </w:rPr>
        <w:t>which</w:t>
      </w:r>
      <w:proofErr w:type="spellEnd"/>
      <w:r w:rsidRPr="00141993">
        <w:rPr>
          <w:sz w:val="20"/>
          <w:szCs w:val="20"/>
        </w:rPr>
        <w:t xml:space="preserve"> is </w:t>
      </w:r>
      <w:proofErr w:type="spellStart"/>
      <w:r w:rsidRPr="00141993">
        <w:rPr>
          <w:sz w:val="20"/>
          <w:szCs w:val="20"/>
        </w:rPr>
        <w:t>providing</w:t>
      </w:r>
      <w:proofErr w:type="spellEnd"/>
      <w:r w:rsidRPr="00141993">
        <w:rPr>
          <w:sz w:val="20"/>
          <w:szCs w:val="20"/>
        </w:rPr>
        <w:t xml:space="preserve"> </w:t>
      </w:r>
      <w:proofErr w:type="spellStart"/>
      <w:r w:rsidRPr="00141993">
        <w:rPr>
          <w:sz w:val="20"/>
          <w:szCs w:val="20"/>
        </w:rPr>
        <w:t>by</w:t>
      </w:r>
      <w:proofErr w:type="spellEnd"/>
      <w:r w:rsidRPr="00141993">
        <w:rPr>
          <w:sz w:val="20"/>
          <w:szCs w:val="20"/>
        </w:rPr>
        <w:t xml:space="preserve"> </w:t>
      </w:r>
      <w:proofErr w:type="spellStart"/>
      <w:r w:rsidRPr="00141993">
        <w:rPr>
          <w:sz w:val="20"/>
          <w:szCs w:val="20"/>
        </w:rPr>
        <w:t>the</w:t>
      </w:r>
      <w:proofErr w:type="spellEnd"/>
      <w:r w:rsidRPr="00141993">
        <w:rPr>
          <w:sz w:val="20"/>
          <w:szCs w:val="20"/>
        </w:rPr>
        <w:t xml:space="preserve"> gNB. </w:t>
      </w:r>
      <w:proofErr w:type="spellStart"/>
      <w:r w:rsidRPr="00141993">
        <w:rPr>
          <w:sz w:val="20"/>
          <w:szCs w:val="20"/>
        </w:rPr>
        <w:t>Thus</w:t>
      </w:r>
      <w:proofErr w:type="spellEnd"/>
      <w:r w:rsidRPr="00141993">
        <w:rPr>
          <w:sz w:val="20"/>
          <w:szCs w:val="20"/>
        </w:rPr>
        <w:t xml:space="preserve">, it is </w:t>
      </w:r>
      <w:proofErr w:type="spellStart"/>
      <w:r w:rsidRPr="00141993">
        <w:rPr>
          <w:sz w:val="20"/>
          <w:szCs w:val="20"/>
        </w:rPr>
        <w:t>beneficial</w:t>
      </w:r>
      <w:proofErr w:type="spellEnd"/>
      <w:r w:rsidRPr="00141993">
        <w:rPr>
          <w:sz w:val="20"/>
          <w:szCs w:val="20"/>
        </w:rPr>
        <w:t xml:space="preserve"> to </w:t>
      </w:r>
      <w:proofErr w:type="spellStart"/>
      <w:r w:rsidRPr="00141993">
        <w:rPr>
          <w:sz w:val="20"/>
          <w:szCs w:val="20"/>
        </w:rPr>
        <w:t>study</w:t>
      </w:r>
      <w:proofErr w:type="spellEnd"/>
      <w:r w:rsidRPr="00141993">
        <w:rPr>
          <w:sz w:val="20"/>
          <w:szCs w:val="20"/>
        </w:rPr>
        <w:t xml:space="preserve"> </w:t>
      </w:r>
      <w:proofErr w:type="spellStart"/>
      <w:r w:rsidRPr="00141993">
        <w:rPr>
          <w:sz w:val="20"/>
          <w:szCs w:val="20"/>
        </w:rPr>
        <w:t>how</w:t>
      </w:r>
      <w:proofErr w:type="spellEnd"/>
      <w:r w:rsidRPr="00141993">
        <w:rPr>
          <w:sz w:val="20"/>
          <w:szCs w:val="20"/>
        </w:rPr>
        <w:t xml:space="preserve"> to </w:t>
      </w:r>
      <w:proofErr w:type="spellStart"/>
      <w:r w:rsidRPr="00141993">
        <w:rPr>
          <w:sz w:val="20"/>
          <w:szCs w:val="20"/>
        </w:rPr>
        <w:t>support</w:t>
      </w:r>
      <w:proofErr w:type="spellEnd"/>
      <w:r w:rsidRPr="00141993">
        <w:rPr>
          <w:sz w:val="20"/>
          <w:szCs w:val="20"/>
        </w:rPr>
        <w:t xml:space="preserve"> PRS </w:t>
      </w:r>
      <w:proofErr w:type="spellStart"/>
      <w:r w:rsidRPr="00141993">
        <w:rPr>
          <w:sz w:val="20"/>
          <w:szCs w:val="20"/>
        </w:rPr>
        <w:t>transmissions</w:t>
      </w:r>
      <w:proofErr w:type="spellEnd"/>
      <w:r w:rsidRPr="00141993">
        <w:rPr>
          <w:sz w:val="20"/>
          <w:szCs w:val="20"/>
        </w:rPr>
        <w:t xml:space="preserve"> </w:t>
      </w:r>
      <w:proofErr w:type="spellStart"/>
      <w:r w:rsidRPr="00141993">
        <w:rPr>
          <w:sz w:val="20"/>
          <w:szCs w:val="20"/>
        </w:rPr>
        <w:t>from</w:t>
      </w:r>
      <w:proofErr w:type="spellEnd"/>
      <w:r w:rsidRPr="00141993">
        <w:rPr>
          <w:sz w:val="20"/>
          <w:szCs w:val="20"/>
        </w:rPr>
        <w:t xml:space="preserve"> </w:t>
      </w:r>
      <w:proofErr w:type="spellStart"/>
      <w:r w:rsidRPr="00141993">
        <w:rPr>
          <w:sz w:val="20"/>
          <w:szCs w:val="20"/>
        </w:rPr>
        <w:t>multiple</w:t>
      </w:r>
      <w:proofErr w:type="spellEnd"/>
      <w:r w:rsidRPr="00141993">
        <w:rPr>
          <w:sz w:val="20"/>
          <w:szCs w:val="20"/>
        </w:rPr>
        <w:t xml:space="preserve"> gNBs </w:t>
      </w:r>
      <w:proofErr w:type="spellStart"/>
      <w:r w:rsidRPr="00141993">
        <w:rPr>
          <w:sz w:val="20"/>
          <w:szCs w:val="20"/>
        </w:rPr>
        <w:t>with</w:t>
      </w:r>
      <w:proofErr w:type="spellEnd"/>
      <w:r w:rsidRPr="00141993">
        <w:rPr>
          <w:sz w:val="20"/>
          <w:szCs w:val="20"/>
        </w:rPr>
        <w:t xml:space="preserve"> </w:t>
      </w:r>
      <w:proofErr w:type="spellStart"/>
      <w:r w:rsidRPr="00141993">
        <w:rPr>
          <w:sz w:val="20"/>
          <w:szCs w:val="20"/>
        </w:rPr>
        <w:t>different</w:t>
      </w:r>
      <w:proofErr w:type="spellEnd"/>
      <w:r w:rsidRPr="00141993">
        <w:rPr>
          <w:sz w:val="20"/>
          <w:szCs w:val="20"/>
        </w:rPr>
        <w:t xml:space="preserve"> </w:t>
      </w:r>
      <w:proofErr w:type="spellStart"/>
      <w:r w:rsidRPr="00141993">
        <w:rPr>
          <w:sz w:val="20"/>
          <w:szCs w:val="20"/>
        </w:rPr>
        <w:t>numerologies</w:t>
      </w:r>
      <w:proofErr w:type="spellEnd"/>
      <w:r w:rsidRPr="00141993">
        <w:rPr>
          <w:sz w:val="20"/>
          <w:szCs w:val="20"/>
        </w:rPr>
        <w:t xml:space="preserve"> </w:t>
      </w:r>
      <w:proofErr w:type="spellStart"/>
      <w:r w:rsidRPr="00141993">
        <w:rPr>
          <w:sz w:val="20"/>
          <w:szCs w:val="20"/>
        </w:rPr>
        <w:t>multiplexed</w:t>
      </w:r>
      <w:proofErr w:type="spellEnd"/>
      <w:r w:rsidRPr="00141993">
        <w:rPr>
          <w:sz w:val="20"/>
          <w:szCs w:val="20"/>
        </w:rPr>
        <w:t xml:space="preserve"> in </w:t>
      </w:r>
      <w:proofErr w:type="spellStart"/>
      <w:r w:rsidRPr="00141993">
        <w:rPr>
          <w:sz w:val="20"/>
          <w:szCs w:val="20"/>
        </w:rPr>
        <w:t>one</w:t>
      </w:r>
      <w:proofErr w:type="spellEnd"/>
      <w:r w:rsidRPr="00141993">
        <w:rPr>
          <w:sz w:val="20"/>
          <w:szCs w:val="20"/>
        </w:rPr>
        <w:t xml:space="preserve"> PRS </w:t>
      </w:r>
      <w:proofErr w:type="spellStart"/>
      <w:r w:rsidRPr="00141993">
        <w:rPr>
          <w:sz w:val="20"/>
          <w:szCs w:val="20"/>
        </w:rPr>
        <w:t>occasion</w:t>
      </w:r>
      <w:proofErr w:type="spellEnd"/>
      <w:r w:rsidRPr="00141993">
        <w:rPr>
          <w:sz w:val="20"/>
          <w:szCs w:val="20"/>
        </w:rPr>
        <w:t xml:space="preserve"> for NR </w:t>
      </w:r>
      <w:proofErr w:type="spellStart"/>
      <w:r w:rsidRPr="00141993">
        <w:rPr>
          <w:sz w:val="20"/>
          <w:szCs w:val="20"/>
        </w:rPr>
        <w:t>positioning</w:t>
      </w:r>
      <w:proofErr w:type="spellEnd"/>
      <w:r w:rsidRPr="00141993">
        <w:rPr>
          <w:sz w:val="20"/>
          <w:szCs w:val="20"/>
        </w:rPr>
        <w:t>.</w:t>
      </w:r>
    </w:p>
    <w:p w14:paraId="0395ED3B" w14:textId="5B512004" w:rsidR="00DD594A" w:rsidRPr="00F144AD" w:rsidRDefault="00F144AD" w:rsidP="00674CA6">
      <w:pPr>
        <w:spacing w:afterLines="50" w:after="120"/>
      </w:pPr>
      <w:r w:rsidRPr="00C02E29">
        <w:rPr>
          <w:b/>
          <w:bCs/>
        </w:rPr>
        <w:t xml:space="preserve">Proposal </w:t>
      </w:r>
      <w:r w:rsidR="00FF5428">
        <w:rPr>
          <w:b/>
          <w:bCs/>
        </w:rPr>
        <w:t>2</w:t>
      </w:r>
      <w:r w:rsidRPr="00C02E29">
        <w:rPr>
          <w:b/>
          <w:bCs/>
        </w:rPr>
        <w:t>:</w:t>
      </w:r>
      <w:r w:rsidRPr="00C02E29">
        <w:t xml:space="preserve"> Study how to support PRS transmissions from multiple gNBs with different numerologies multiplexed in one PRS occasion for NR positioning.</w:t>
      </w:r>
    </w:p>
    <w:p w14:paraId="587DCDE3" w14:textId="7A4FEF15" w:rsidR="00714DFA" w:rsidRDefault="67205F1A" w:rsidP="00714DFA">
      <w:pPr>
        <w:pStyle w:val="Heading3"/>
      </w:pPr>
      <w:r>
        <w:t>DL-</w:t>
      </w:r>
      <w:r w:rsidR="00714DFA">
        <w:t>PRS periodicity and duration</w:t>
      </w:r>
    </w:p>
    <w:p w14:paraId="4919FA18" w14:textId="0C7388FF" w:rsidR="00714DFA" w:rsidRDefault="00714DFA" w:rsidP="00714DFA">
      <w:r>
        <w:t xml:space="preserve">The lowest periodicity of PRS in LTE that was supported was </w:t>
      </w:r>
      <w:r w:rsidR="0020A800">
        <w:t>5</w:t>
      </w:r>
      <w:r>
        <w:t xml:space="preserve"> </w:t>
      </w:r>
      <w:proofErr w:type="spellStart"/>
      <w:r>
        <w:t>ms</w:t>
      </w:r>
      <w:proofErr w:type="spellEnd"/>
      <w:r>
        <w:t xml:space="preserve">. </w:t>
      </w:r>
    </w:p>
    <w:p w14:paraId="74BCFCE8" w14:textId="18DC6C82" w:rsidR="00714DFA" w:rsidRDefault="00714DFA" w:rsidP="00714DFA">
      <w:r w:rsidRPr="00841FC5">
        <w:rPr>
          <w:b/>
          <w:bCs/>
        </w:rPr>
        <w:t xml:space="preserve">Proposal </w:t>
      </w:r>
      <w:r w:rsidR="00FF5428">
        <w:rPr>
          <w:b/>
          <w:bCs/>
        </w:rPr>
        <w:t>3</w:t>
      </w:r>
      <w:r>
        <w:t>: At least the following periodicities should be supported for NR PRS: {</w:t>
      </w:r>
      <w:r w:rsidR="004B4467">
        <w:t xml:space="preserve">5, 10, 20, </w:t>
      </w:r>
      <w:r>
        <w:t xml:space="preserve">40, 80, 160, 320, 640, 1280} </w:t>
      </w:r>
      <w:r w:rsidR="0C7C81B0">
        <w:t>slots</w:t>
      </w:r>
      <w:r w:rsidRPr="0020A800">
        <w:t xml:space="preserve">. </w:t>
      </w:r>
    </w:p>
    <w:p w14:paraId="55F0674B" w14:textId="510BDAC9" w:rsidR="00585557" w:rsidRDefault="00585557" w:rsidP="00714DFA">
      <w:r>
        <w:t xml:space="preserve">In LTE up to 6 consecutive subframes of PRS transmissions were supported. </w:t>
      </w:r>
      <w:r w:rsidRPr="009D62C1">
        <w:t xml:space="preserve">Luckily the evaluations during the SI phase showed that support for this high number of consecutive </w:t>
      </w:r>
      <w:r w:rsidR="00B3523D" w:rsidRPr="00674CA6">
        <w:t>slots</w:t>
      </w:r>
      <w:r w:rsidRPr="009D62C1">
        <w:t xml:space="preserve"> may not be needed</w:t>
      </w:r>
      <w:r w:rsidR="00B3523D" w:rsidRPr="00674CA6">
        <w:t xml:space="preserve"> for all BWs in NR</w:t>
      </w:r>
      <w:r w:rsidRPr="009D62C1">
        <w:t xml:space="preserve"> [</w:t>
      </w:r>
      <w:r w:rsidR="00B3523D" w:rsidRPr="00674CA6">
        <w:t>4</w:t>
      </w:r>
      <w:r w:rsidRPr="009D62C1">
        <w:t>]. This seems to stem from the fact that with wider BW signals</w:t>
      </w:r>
      <w:r w:rsidR="003B3752">
        <w:t xml:space="preserve"> </w:t>
      </w:r>
      <w:r w:rsidR="00505190" w:rsidRPr="009D62C1">
        <w:t>even</w:t>
      </w:r>
      <w:r w:rsidRPr="009D62C1">
        <w:t xml:space="preserve"> 1 slot may be enough for DL positioning support.</w:t>
      </w:r>
      <w:r w:rsidR="00B3523D">
        <w:t xml:space="preserve"> However, if lower BWs are supported for individual UEs then this number of consecutive slots may again be useful. </w:t>
      </w:r>
      <w:r w:rsidR="00D77603">
        <w:t xml:space="preserve">To allow flexibility in the NR DL PRS design the same number of repetitions from LTE should be supported. </w:t>
      </w:r>
    </w:p>
    <w:p w14:paraId="2F2811A2" w14:textId="792BA7B1" w:rsidR="00585557" w:rsidRDefault="00585557" w:rsidP="00714DFA">
      <w:r w:rsidRPr="00083EF6">
        <w:rPr>
          <w:b/>
          <w:bCs/>
        </w:rPr>
        <w:t xml:space="preserve">Proposal </w:t>
      </w:r>
      <w:r w:rsidR="00FF5428">
        <w:rPr>
          <w:b/>
          <w:bCs/>
        </w:rPr>
        <w:t>4</w:t>
      </w:r>
      <w:r>
        <w:t>: Support the following consecutive number of s</w:t>
      </w:r>
      <w:r w:rsidR="32182866">
        <w:t>lots</w:t>
      </w:r>
      <w:r>
        <w:t xml:space="preserve"> for NR PRS</w:t>
      </w:r>
      <w:r w:rsidR="003B3752">
        <w:t>:</w:t>
      </w:r>
      <w:r>
        <w:t xml:space="preserve"> {1,2</w:t>
      </w:r>
      <w:r w:rsidR="002D277F">
        <w:t>,4,6</w:t>
      </w:r>
      <w:r>
        <w:t>}</w:t>
      </w:r>
      <w:r w:rsidR="004C4D8E">
        <w:t xml:space="preserve"> per beam direction</w:t>
      </w:r>
      <w:r w:rsidRPr="32182866">
        <w:t xml:space="preserve">. </w:t>
      </w:r>
    </w:p>
    <w:p w14:paraId="24CBC32E" w14:textId="6B976C20" w:rsidR="00505190" w:rsidRDefault="67205F1A" w:rsidP="00505190">
      <w:pPr>
        <w:pStyle w:val="Heading3"/>
      </w:pPr>
      <w:r>
        <w:t>DL-</w:t>
      </w:r>
      <w:r w:rsidR="00505190">
        <w:t>PRS sequence</w:t>
      </w:r>
      <w:r w:rsidR="00505190">
        <w:tab/>
      </w:r>
    </w:p>
    <w:p w14:paraId="566C8EA6" w14:textId="1ACD31F5" w:rsidR="00505190" w:rsidRDefault="00505190" w:rsidP="00505190">
      <w:r>
        <w:t xml:space="preserve">Many companies proposed using the Gold sequence for the NR PRS during the SI phase. It </w:t>
      </w:r>
      <w:r w:rsidR="003B3752">
        <w:t>i</w:t>
      </w:r>
      <w:r>
        <w:t xml:space="preserve">s reasonable that this sequence would be reused for the NR PRS. </w:t>
      </w:r>
    </w:p>
    <w:p w14:paraId="5725A607" w14:textId="4475FC6E" w:rsidR="00505190" w:rsidRDefault="00505190" w:rsidP="00505190">
      <w:r w:rsidRPr="00A04263">
        <w:rPr>
          <w:b/>
          <w:bCs/>
        </w:rPr>
        <w:t xml:space="preserve">Proposal </w:t>
      </w:r>
      <w:r w:rsidR="00FF5428">
        <w:rPr>
          <w:b/>
          <w:bCs/>
        </w:rPr>
        <w:t>5</w:t>
      </w:r>
      <w:r>
        <w:t xml:space="preserve">: </w:t>
      </w:r>
      <w:r w:rsidR="00E3381A">
        <w:t>The NR PRS uses the Gold sequence</w:t>
      </w:r>
      <w:r w:rsidR="000659FD">
        <w:t>.</w:t>
      </w:r>
    </w:p>
    <w:p w14:paraId="199AF08B" w14:textId="11E3F866" w:rsidR="00E1652F" w:rsidRDefault="00E1652F" w:rsidP="00E1652F">
      <w:pPr>
        <w:pStyle w:val="Heading3"/>
      </w:pPr>
      <w:r>
        <w:t xml:space="preserve">Number of ports for </w:t>
      </w:r>
      <w:r w:rsidR="67205F1A">
        <w:t>DL-</w:t>
      </w:r>
      <w:r>
        <w:t>PRS</w:t>
      </w:r>
    </w:p>
    <w:p w14:paraId="1C90BAD3" w14:textId="443C91F8" w:rsidR="00E1652F" w:rsidRDefault="00E1652F" w:rsidP="00E1652F">
      <w:r>
        <w:t xml:space="preserve">For PRS transmission only 1 port was supported in LTE. However, using 2 ports to allow for multiple polarizations will be useful in NR. </w:t>
      </w:r>
    </w:p>
    <w:p w14:paraId="62B8A52B" w14:textId="30FD71AD" w:rsidR="00E1652F" w:rsidRDefault="00E1652F" w:rsidP="00E1652F">
      <w:r w:rsidRPr="002E3259">
        <w:rPr>
          <w:b/>
          <w:bCs/>
        </w:rPr>
        <w:t xml:space="preserve">Proposal </w:t>
      </w:r>
      <w:r w:rsidR="00FF5428">
        <w:rPr>
          <w:b/>
          <w:bCs/>
        </w:rPr>
        <w:t>6</w:t>
      </w:r>
      <w:r>
        <w:t>: NR</w:t>
      </w:r>
      <w:r w:rsidR="002D277F">
        <w:t xml:space="preserve"> DL-</w:t>
      </w:r>
      <w:r>
        <w:t xml:space="preserve">PRS supports 2 port transmission to allow for cross-polarization. </w:t>
      </w:r>
    </w:p>
    <w:p w14:paraId="1B3CE986" w14:textId="295325FF" w:rsidR="00E1652F" w:rsidRDefault="67205F1A" w:rsidP="00E1652F">
      <w:pPr>
        <w:pStyle w:val="Heading3"/>
      </w:pPr>
      <w:r>
        <w:t>DL-</w:t>
      </w:r>
      <w:r w:rsidR="00E1652F">
        <w:t>PRS resource sets and occasions</w:t>
      </w:r>
    </w:p>
    <w:p w14:paraId="6F976ACE" w14:textId="069AF3EE" w:rsidR="00E1652F" w:rsidRDefault="00E1652F" w:rsidP="00E1652F">
      <w:r>
        <w:t xml:space="preserve">During the SI phase the following agreement on PRS resource was made: </w:t>
      </w:r>
    </w:p>
    <w:p w14:paraId="13F66B47" w14:textId="3AF2AAFA" w:rsidR="00CC767E" w:rsidRDefault="00E1652F" w:rsidP="00E1652F">
      <w:pPr>
        <w:rPr>
          <w:lang w:val="en-US"/>
        </w:rPr>
      </w:pPr>
      <w:r w:rsidRPr="00E1652F">
        <w:rPr>
          <w:highlight w:val="green"/>
        </w:rPr>
        <w:t>Agreement</w:t>
      </w:r>
      <w:r>
        <w:t xml:space="preserve">: </w:t>
      </w:r>
      <w:r w:rsidR="00C8735C" w:rsidRPr="00E1652F">
        <w:rPr>
          <w:lang w:val="en-US"/>
        </w:rPr>
        <w:t>NR DL PRS resource is defined as a set of resource elements used for NR DL PRS transmission that can span multiple PRBs within N (1 or more) consecutive symbol(s) within a slot, where N is left to future specification work.</w:t>
      </w:r>
    </w:p>
    <w:p w14:paraId="0A961A61" w14:textId="0E2F4134" w:rsidR="00FF5428" w:rsidRPr="00674CA6" w:rsidRDefault="00FF5428" w:rsidP="1328B26E">
      <w:r>
        <w:t xml:space="preserve">A DL-PRS resource is equivalent to one beam direction, or one frequency shift, and a </w:t>
      </w:r>
      <w:r w:rsidR="00FE3770">
        <w:t>DL-PRS resource set consists of one or more DL-PRS-resources which are sent in different beam directions and/or with different frequency shifts. A DL-PRS occasion consists of one or more DL-PRS resource sets and spans over one or more consecutive slots.</w:t>
      </w:r>
    </w:p>
    <w:p w14:paraId="526710BB" w14:textId="5F7560E7" w:rsidR="001A16B5" w:rsidRPr="00E1652F" w:rsidRDefault="00DB012A" w:rsidP="00E1652F">
      <w:pPr>
        <w:rPr>
          <w:lang w:val="en-US"/>
        </w:rPr>
      </w:pPr>
      <w:r w:rsidRPr="003B3752">
        <w:rPr>
          <w:b/>
          <w:bCs/>
          <w:lang w:val="en-US"/>
        </w:rPr>
        <w:t xml:space="preserve">Proposal </w:t>
      </w:r>
      <w:r w:rsidR="00FE3770" w:rsidRPr="003B3752">
        <w:rPr>
          <w:b/>
          <w:bCs/>
          <w:lang w:val="en-US"/>
        </w:rPr>
        <w:t>7</w:t>
      </w:r>
      <w:r>
        <w:rPr>
          <w:lang w:val="en-US"/>
        </w:rPr>
        <w:t xml:space="preserve">: A NR DL PRS resource set is defined as a set of one or more NR DL PRS resources assigned to the same </w:t>
      </w:r>
      <w:r w:rsidR="001A0606">
        <w:rPr>
          <w:lang w:val="en-US"/>
        </w:rPr>
        <w:t xml:space="preserve">TRP. </w:t>
      </w:r>
    </w:p>
    <w:p w14:paraId="4F019B9D" w14:textId="46870C32" w:rsidR="001A0606" w:rsidRDefault="001A0606" w:rsidP="00E1652F">
      <w:r w:rsidRPr="00841FC5">
        <w:rPr>
          <w:b/>
          <w:bCs/>
        </w:rPr>
        <w:t xml:space="preserve">Proposal </w:t>
      </w:r>
      <w:r w:rsidR="00FE3770">
        <w:rPr>
          <w:b/>
          <w:bCs/>
        </w:rPr>
        <w:t>8</w:t>
      </w:r>
      <w:r w:rsidRPr="7CA925C1">
        <w:t xml:space="preserve">: </w:t>
      </w:r>
      <w:r>
        <w:t>A NR DL PRS occasion is defined as a set of one or more con</w:t>
      </w:r>
      <w:r w:rsidR="5A1F6C83">
        <w:t>s</w:t>
      </w:r>
      <w:r>
        <w:t>ecutive and/or concurrent NR DL PRS resource sets.</w:t>
      </w:r>
    </w:p>
    <w:p w14:paraId="03C82515" w14:textId="4BAEA05E" w:rsidR="00241E72" w:rsidRDefault="67205F1A" w:rsidP="701B3BE7">
      <w:pPr>
        <w:pStyle w:val="Heading3"/>
      </w:pPr>
      <w:r>
        <w:t>DL-</w:t>
      </w:r>
      <w:r w:rsidR="00241E72">
        <w:t>PRS resource mapping</w:t>
      </w:r>
    </w:p>
    <w:p w14:paraId="3E1AE211" w14:textId="77777777" w:rsidR="00F144AD" w:rsidRDefault="00241E72" w:rsidP="00241E72">
      <w:r>
        <w:t xml:space="preserve">During the SI phase </w:t>
      </w:r>
      <w:r w:rsidR="009403AC">
        <w:t xml:space="preserve">many different PRS resource mappings were proposed. Multiple companies have pointed out that the </w:t>
      </w:r>
      <w:r w:rsidR="00A14A42">
        <w:t xml:space="preserve">comb structure as well as the PRS resource mapping will </w:t>
      </w:r>
      <w:proofErr w:type="gramStart"/>
      <w:r w:rsidR="00A14A42">
        <w:t>have an effect on</w:t>
      </w:r>
      <w:proofErr w:type="gramEnd"/>
      <w:r w:rsidR="00A14A42">
        <w:t xml:space="preserve"> the sidelobe characteristics for timing estimation.</w:t>
      </w:r>
    </w:p>
    <w:p w14:paraId="79919B3D" w14:textId="77777777" w:rsidR="00F144AD" w:rsidRDefault="00F144AD" w:rsidP="1328B26E">
      <w:r>
        <w:lastRenderedPageBreak/>
        <w:t xml:space="preserve">If comb structure flexibility can be supported for the NR PRS may be discussed further. However, the staggered structure should always be incorporated. </w:t>
      </w:r>
    </w:p>
    <w:p w14:paraId="74E1128D" w14:textId="45EBA71E" w:rsidR="00F144AD" w:rsidRDefault="00F144AD" w:rsidP="1328B26E">
      <w:r w:rsidRPr="00841FC5">
        <w:rPr>
          <w:b/>
          <w:bCs/>
        </w:rPr>
        <w:t xml:space="preserve">Proposal </w:t>
      </w:r>
      <w:r w:rsidR="00FE3770">
        <w:rPr>
          <w:b/>
          <w:bCs/>
        </w:rPr>
        <w:t>9</w:t>
      </w:r>
      <w:r>
        <w:t>: At least the comb-6 st</w:t>
      </w:r>
      <w:r w:rsidR="002FD911">
        <w:t>r</w:t>
      </w:r>
      <w:r>
        <w:t>ucture for NR PRS should be supported.</w:t>
      </w:r>
    </w:p>
    <w:p w14:paraId="477B4ECD" w14:textId="7A397976" w:rsidR="00F144AD" w:rsidRDefault="00F144AD" w:rsidP="00241E72">
      <w:r>
        <w:t xml:space="preserve">In LTE, the PRS is not mapped in all symbols in a subframe as shown in </w:t>
      </w:r>
      <w:r w:rsidRPr="00FE3770">
        <w:t xml:space="preserve">Figure </w:t>
      </w:r>
      <w:r w:rsidR="00FE3770" w:rsidRPr="00674CA6">
        <w:t>1</w:t>
      </w:r>
      <w:r w:rsidRPr="00FE3770">
        <w:t>.</w:t>
      </w:r>
      <w:r>
        <w:t xml:space="preserve"> Symbols for DL control and cell reference signal (CRS) transmission are reserved. However, CRS is not required anymore in NR system. Therefore, all </w:t>
      </w:r>
      <w:r w:rsidR="001D4E24">
        <w:t>s</w:t>
      </w:r>
      <w:r>
        <w:t xml:space="preserve">ymbols except </w:t>
      </w:r>
      <w:proofErr w:type="spellStart"/>
      <w:r>
        <w:t>thoes</w:t>
      </w:r>
      <w:proofErr w:type="spellEnd"/>
      <w:r>
        <w:t xml:space="preserve"> for DL control transmission could in principle used for PRS mapping.</w:t>
      </w:r>
    </w:p>
    <w:p w14:paraId="4404E4CC" w14:textId="09F5A4D3" w:rsidR="00F144AD" w:rsidRDefault="00F144AD" w:rsidP="1328B26E">
      <w:r w:rsidRPr="00083EF6">
        <w:rPr>
          <w:b/>
          <w:bCs/>
        </w:rPr>
        <w:t xml:space="preserve">Observation </w:t>
      </w:r>
      <w:r w:rsidR="00FE3770">
        <w:rPr>
          <w:b/>
          <w:bCs/>
        </w:rPr>
        <w:t>1</w:t>
      </w:r>
      <w:r>
        <w:t>: Some symbols in LTE were reserved for the cell reference signal (CRS), however in NR there is no such constraint.</w:t>
      </w:r>
    </w:p>
    <w:p w14:paraId="5D4008E3" w14:textId="754F3365" w:rsidR="00241E72" w:rsidRDefault="00D05A5E" w:rsidP="00674CA6">
      <w:pPr>
        <w:jc w:val="center"/>
      </w:pPr>
      <w:r>
        <w:rPr>
          <w:noProof/>
        </w:rPr>
        <w:drawing>
          <wp:inline distT="0" distB="0" distL="0" distR="0" wp14:anchorId="37416640" wp14:editId="5E7CD048">
            <wp:extent cx="3913633" cy="3206750"/>
            <wp:effectExtent l="0" t="0" r="0" b="0"/>
            <wp:docPr id="2109871401" name="Picture 210987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918285" cy="3210562"/>
                    </a:xfrm>
                    <a:prstGeom prst="rect">
                      <a:avLst/>
                    </a:prstGeom>
                  </pic:spPr>
                </pic:pic>
              </a:graphicData>
            </a:graphic>
          </wp:inline>
        </w:drawing>
      </w:r>
    </w:p>
    <w:p w14:paraId="21F96DB3" w14:textId="17B7394A" w:rsidR="00D05A5E" w:rsidRDefault="00D05A5E" w:rsidP="00674CA6">
      <w:pPr>
        <w:jc w:val="center"/>
      </w:pPr>
      <w:r>
        <w:t xml:space="preserve">Figure </w:t>
      </w:r>
      <w:r w:rsidR="00FE3770">
        <w:t>1</w:t>
      </w:r>
      <w:r>
        <w:t>. LTE PRS RE mapping for normal CP.</w:t>
      </w:r>
    </w:p>
    <w:p w14:paraId="492477D6" w14:textId="5194B592" w:rsidR="00E73920" w:rsidRDefault="00E73920" w:rsidP="00E73920">
      <w:r>
        <w:t>NR supports a fully dynamic TDD operation with flexible slot structure, i.e. any symbol could be a UL symbol or DL symbol. It would be beneficial to have a relative</w:t>
      </w:r>
      <w:r w:rsidR="001D4E24">
        <w:t>ly</w:t>
      </w:r>
      <w:r>
        <w:t xml:space="preserve"> flexible PRS mapping to reduce the limitation to slot format used for PRS transmission. Especially, PRS may only occupy </w:t>
      </w:r>
      <w:proofErr w:type="spellStart"/>
      <w:r>
        <w:t>paritial</w:t>
      </w:r>
      <w:proofErr w:type="spellEnd"/>
      <w:r>
        <w:t xml:space="preserve"> </w:t>
      </w:r>
      <w:proofErr w:type="spellStart"/>
      <w:r>
        <w:t>frequence</w:t>
      </w:r>
      <w:proofErr w:type="spellEnd"/>
      <w:r>
        <w:t xml:space="preserve"> resource in the DL BWP. </w:t>
      </w:r>
    </w:p>
    <w:p w14:paraId="171618CC" w14:textId="6B1D861A" w:rsidR="00E73920" w:rsidRDefault="00E73920" w:rsidP="00E73920">
      <w:r>
        <w:t xml:space="preserve">One potential way is to support a scalable manner for PRS mapping. More specifically, a basic PRS mapping configuration could be defined as a baseline. gNBs could on-demand extend PRS mapping to other symbols as shown in Figure </w:t>
      </w:r>
      <w:r w:rsidR="00FE3770">
        <w:t>2</w:t>
      </w:r>
      <w:r>
        <w:t xml:space="preserve">. Such </w:t>
      </w:r>
      <w:r>
        <w:rPr>
          <w:lang w:eastAsia="zh-CN"/>
        </w:rPr>
        <w:t xml:space="preserve">joint (“basic + extended”) configuration can support more flexible PRS mapping, </w:t>
      </w:r>
      <w:proofErr w:type="gramStart"/>
      <w:r>
        <w:rPr>
          <w:lang w:eastAsia="zh-CN"/>
        </w:rPr>
        <w:t>in order to</w:t>
      </w:r>
      <w:proofErr w:type="gramEnd"/>
      <w:r>
        <w:rPr>
          <w:lang w:eastAsia="zh-CN"/>
        </w:rPr>
        <w:t xml:space="preserve"> mini</w:t>
      </w:r>
      <w:r w:rsidR="001D4E24">
        <w:rPr>
          <w:lang w:eastAsia="zh-CN"/>
        </w:rPr>
        <w:t>mi</w:t>
      </w:r>
      <w:r>
        <w:rPr>
          <w:lang w:eastAsia="zh-CN"/>
        </w:rPr>
        <w:t>ze PRS transmission impact to normal service in the gNB.</w:t>
      </w:r>
    </w:p>
    <w:p w14:paraId="45C20B99" w14:textId="6D1E4EC8" w:rsidR="00E73920" w:rsidRDefault="00085E56" w:rsidP="00674CA6">
      <w:pPr>
        <w:jc w:val="center"/>
      </w:pPr>
      <w:r w:rsidRPr="00085E56">
        <w:rPr>
          <w:noProof/>
        </w:rPr>
        <w:lastRenderedPageBreak/>
        <w:drawing>
          <wp:inline distT="0" distB="0" distL="0" distR="0" wp14:anchorId="734E2E6E" wp14:editId="31030349">
            <wp:extent cx="3892550" cy="29845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92550" cy="2984500"/>
                    </a:xfrm>
                    <a:prstGeom prst="rect">
                      <a:avLst/>
                    </a:prstGeom>
                    <a:noFill/>
                    <a:ln>
                      <a:noFill/>
                    </a:ln>
                  </pic:spPr>
                </pic:pic>
              </a:graphicData>
            </a:graphic>
          </wp:inline>
        </w:drawing>
      </w:r>
    </w:p>
    <w:p w14:paraId="4043BCFB" w14:textId="5949A613" w:rsidR="00E73920" w:rsidRDefault="00E73920" w:rsidP="00674CA6">
      <w:pPr>
        <w:jc w:val="center"/>
      </w:pPr>
      <w:r w:rsidRPr="4D62406C">
        <w:t xml:space="preserve">Figure </w:t>
      </w:r>
      <w:r w:rsidR="00FE3770">
        <w:t>2</w:t>
      </w:r>
      <w:r w:rsidRPr="4D62406C">
        <w:t xml:space="preserve">: </w:t>
      </w:r>
      <w:r w:rsidRPr="4D62406C">
        <w:rPr>
          <w:lang w:eastAsia="zh-CN"/>
        </w:rPr>
        <w:t xml:space="preserve">Example of extended PRS </w:t>
      </w:r>
      <w:r>
        <w:rPr>
          <w:lang w:eastAsia="zh-CN"/>
        </w:rPr>
        <w:t>mapping</w:t>
      </w:r>
    </w:p>
    <w:p w14:paraId="01B5BF35" w14:textId="797518CA" w:rsidR="00E73920" w:rsidRDefault="00E73920" w:rsidP="5B7ECE71">
      <w:r w:rsidRPr="00674CA6">
        <w:rPr>
          <w:b/>
          <w:bCs/>
        </w:rPr>
        <w:t xml:space="preserve">Proposal </w:t>
      </w:r>
      <w:r w:rsidR="00FE3770" w:rsidRPr="003B3752">
        <w:rPr>
          <w:b/>
          <w:bCs/>
        </w:rPr>
        <w:t>10</w:t>
      </w:r>
      <w:r>
        <w:t>: It is beneficial to have a relative</w:t>
      </w:r>
      <w:r w:rsidR="001D4E24">
        <w:t>ly</w:t>
      </w:r>
      <w:r>
        <w:t xml:space="preserve"> flexible PRS mapping method to reduce the limitation to slot format used for PRS transmission.</w:t>
      </w:r>
    </w:p>
    <w:p w14:paraId="5AB5F407" w14:textId="71996449" w:rsidR="008925E9" w:rsidRDefault="008925E9" w:rsidP="5B7ECE71">
      <w:pPr>
        <w:pStyle w:val="Heading3"/>
      </w:pPr>
      <w:r>
        <w:t xml:space="preserve">Cell- and UE-specific </w:t>
      </w:r>
      <w:r w:rsidR="701B3BE7">
        <w:t>DL-</w:t>
      </w:r>
      <w:r>
        <w:t>PRS</w:t>
      </w:r>
    </w:p>
    <w:p w14:paraId="3DAA3226" w14:textId="6F808356" w:rsidR="00604121" w:rsidRDefault="008925E9" w:rsidP="740CD04C">
      <w:r>
        <w:t xml:space="preserve">In previous meetings it has been discussed whether </w:t>
      </w:r>
      <w:r w:rsidR="0050739F">
        <w:t>DL-</w:t>
      </w:r>
      <w:r>
        <w:t xml:space="preserve">PRS is UE specific or cell specific. In </w:t>
      </w:r>
      <w:r w:rsidR="00604121">
        <w:t>principle</w:t>
      </w:r>
      <w:r>
        <w:t xml:space="preserve">, it is desired that </w:t>
      </w:r>
      <w:r w:rsidR="0050739F">
        <w:t>DL-</w:t>
      </w:r>
      <w:r>
        <w:t xml:space="preserve">PRS can be received from many UEs. </w:t>
      </w:r>
      <w:r w:rsidR="00A04263">
        <w:t>In</w:t>
      </w:r>
      <w:r>
        <w:t xml:space="preserve"> NR reference signals are not cell-specific to avoid transmissions that are </w:t>
      </w:r>
      <w:proofErr w:type="gramStart"/>
      <w:r>
        <w:t>actually not</w:t>
      </w:r>
      <w:proofErr w:type="gramEnd"/>
      <w:r>
        <w:t xml:space="preserve"> </w:t>
      </w:r>
      <w:r w:rsidR="00604121">
        <w:t>required</w:t>
      </w:r>
      <w:r>
        <w:t>, e.g. in directions where no UE is present</w:t>
      </w:r>
      <w:r w:rsidR="00604121">
        <w:t xml:space="preserve"> that needs to receive </w:t>
      </w:r>
      <w:r w:rsidR="0050739F">
        <w:t>DL-</w:t>
      </w:r>
      <w:r w:rsidR="00604121">
        <w:t>PRS</w:t>
      </w:r>
      <w:r>
        <w:t xml:space="preserve">. </w:t>
      </w:r>
      <w:r w:rsidR="00A04263">
        <w:t xml:space="preserve">However, </w:t>
      </w:r>
      <w:r w:rsidR="0050739F">
        <w:t>DL-</w:t>
      </w:r>
      <w:r w:rsidR="00A04263">
        <w:t xml:space="preserve">PRS transmitted in one cell are received and measured not only from those UEs located in said cell, but also from UEs located in </w:t>
      </w:r>
      <w:proofErr w:type="spellStart"/>
      <w:r w:rsidR="00A04263">
        <w:t>neighboring</w:t>
      </w:r>
      <w:proofErr w:type="spellEnd"/>
      <w:r w:rsidR="00A04263">
        <w:t xml:space="preserve"> cells. UE-</w:t>
      </w:r>
      <w:proofErr w:type="spellStart"/>
      <w:r w:rsidR="00A04263">
        <w:t>specifc</w:t>
      </w:r>
      <w:proofErr w:type="spellEnd"/>
      <w:r w:rsidR="00A04263">
        <w:t xml:space="preserve"> </w:t>
      </w:r>
      <w:r w:rsidR="0050739F">
        <w:t>DL-</w:t>
      </w:r>
      <w:r w:rsidR="00A04263">
        <w:t xml:space="preserve">PRS configured in many </w:t>
      </w:r>
      <w:proofErr w:type="spellStart"/>
      <w:r w:rsidR="00A04263">
        <w:t>neighboring</w:t>
      </w:r>
      <w:proofErr w:type="spellEnd"/>
      <w:r w:rsidR="00A04263">
        <w:t xml:space="preserve"> cells may lead to </w:t>
      </w:r>
      <w:proofErr w:type="spellStart"/>
      <w:r w:rsidR="00A04263">
        <w:t>imcreased</w:t>
      </w:r>
      <w:proofErr w:type="spellEnd"/>
      <w:r w:rsidR="00A04263">
        <w:t xml:space="preserve"> complexity while the expected benefit is lo</w:t>
      </w:r>
      <w:r w:rsidR="0050739F">
        <w:t>w</w:t>
      </w:r>
      <w:r w:rsidR="00A04263">
        <w:t xml:space="preserve">. Therefore cell-specific </w:t>
      </w:r>
      <w:r w:rsidR="0050739F">
        <w:t>DL-</w:t>
      </w:r>
      <w:r w:rsidR="00A04263">
        <w:t>PRS is the more straightforward approach at least for FR1.</w:t>
      </w:r>
    </w:p>
    <w:p w14:paraId="60CF199D" w14:textId="5C5DA79E" w:rsidR="00604121" w:rsidRPr="00241E72" w:rsidRDefault="001A70A7" w:rsidP="5B7ECE71">
      <w:r>
        <w:t>This baseline solution can be complemented by</w:t>
      </w:r>
      <w:r w:rsidRPr="2C081102">
        <w:t xml:space="preserve"> </w:t>
      </w:r>
      <w:r w:rsidR="002B4FA7">
        <w:t xml:space="preserve">UE-specific </w:t>
      </w:r>
      <w:r w:rsidRPr="00674CA6">
        <w:rPr>
          <w:i/>
          <w:iCs/>
        </w:rPr>
        <w:t>on-demand</w:t>
      </w:r>
      <w:r w:rsidRPr="2C081102">
        <w:t xml:space="preserve"> </w:t>
      </w:r>
      <w:r w:rsidR="0050739F">
        <w:t>DL-</w:t>
      </w:r>
      <w:r>
        <w:t>PRS</w:t>
      </w:r>
      <w:r w:rsidR="002B4FA7" w:rsidRPr="2C081102">
        <w:t xml:space="preserve">, </w:t>
      </w:r>
      <w:proofErr w:type="gramStart"/>
      <w:r>
        <w:t xml:space="preserve">in particular </w:t>
      </w:r>
      <w:r w:rsidR="002B4FA7">
        <w:t>in</w:t>
      </w:r>
      <w:proofErr w:type="gramEnd"/>
      <w:r>
        <w:t xml:space="preserve"> FR2</w:t>
      </w:r>
      <w:r w:rsidR="002B4FA7" w:rsidRPr="2C081102">
        <w:t xml:space="preserve">, </w:t>
      </w:r>
      <w:r w:rsidR="002B4FA7">
        <w:t xml:space="preserve">when the number of hearable cell-specific </w:t>
      </w:r>
      <w:r w:rsidR="0050739F">
        <w:t>DL-</w:t>
      </w:r>
      <w:r w:rsidR="002B4FA7">
        <w:t xml:space="preserve">PRS is limited due to reduced coverage, and additional beamformed </w:t>
      </w:r>
      <w:r w:rsidR="0050739F">
        <w:t>DL-</w:t>
      </w:r>
      <w:r w:rsidR="002B4FA7">
        <w:t xml:space="preserve">PRS are required to perform reasonable measurements. </w:t>
      </w:r>
      <w:r w:rsidR="0050739F">
        <w:t xml:space="preserve">This concept is treated </w:t>
      </w:r>
      <w:r w:rsidR="00FF5428">
        <w:t xml:space="preserve">in more detail </w:t>
      </w:r>
      <w:r w:rsidR="0050739F">
        <w:t>i</w:t>
      </w:r>
      <w:r w:rsidR="002B4FA7">
        <w:t>n our companion contribution [6</w:t>
      </w:r>
      <w:r w:rsidR="002B4FA7" w:rsidRPr="2C081102">
        <w:t xml:space="preserve"> </w:t>
      </w:r>
      <w:r w:rsidR="002B4FA7" w:rsidRPr="7609B8DD">
        <w:t>In [6], specific proposals regarding the assignment of PRS resource IDs in FR2 beamforming scenarios are provided.</w:t>
      </w:r>
    </w:p>
    <w:p w14:paraId="2A91F882" w14:textId="3ACC09CF" w:rsidR="00604121" w:rsidRPr="00241E72" w:rsidRDefault="00604121" w:rsidP="5B7ECE71">
      <w:r w:rsidRPr="00674CA6">
        <w:rPr>
          <w:b/>
          <w:bCs/>
        </w:rPr>
        <w:t xml:space="preserve">Proposal </w:t>
      </w:r>
      <w:r w:rsidR="00FE3770" w:rsidRPr="003B3752">
        <w:rPr>
          <w:b/>
          <w:bCs/>
        </w:rPr>
        <w:t>11</w:t>
      </w:r>
      <w:r w:rsidRPr="00674CA6">
        <w:rPr>
          <w:b/>
          <w:bCs/>
        </w:rPr>
        <w:t>:</w:t>
      </w:r>
      <w:r w:rsidRPr="5B7ECE71">
        <w:t xml:space="preserve"> </w:t>
      </w:r>
      <w:r w:rsidR="0050739F">
        <w:t>In FR1 DL-</w:t>
      </w:r>
      <w:r>
        <w:t xml:space="preserve">PRS configuration is </w:t>
      </w:r>
      <w:r w:rsidR="001A70A7">
        <w:t>cell</w:t>
      </w:r>
      <w:r>
        <w:t>-specific</w:t>
      </w:r>
      <w:r w:rsidR="0050739F">
        <w:t>. In FR2 UE-specific on-demand DL-PRS can complement cell-specific DL-PRS.</w:t>
      </w:r>
    </w:p>
    <w:p w14:paraId="54C8CA96" w14:textId="77777777" w:rsidR="00241E72" w:rsidRPr="009B3B09" w:rsidRDefault="00241E72" w:rsidP="00241E72">
      <w:pPr>
        <w:pStyle w:val="Heading2"/>
      </w:pPr>
      <w:r w:rsidRPr="009B3B09">
        <w:t>E-CID downlink measurements</w:t>
      </w:r>
    </w:p>
    <w:p w14:paraId="018CA850" w14:textId="57A5F5DC" w:rsidR="00E1652F" w:rsidRPr="009B3B09" w:rsidRDefault="009B3B09" w:rsidP="00241E72">
      <w:r w:rsidRPr="009B3B09">
        <w:t xml:space="preserve">To support Enhanced Cell ID (E-CID) in Rel-16 the Rel-15 NR RRM measurements can be used as a baseline. This does not require any new measurement definitions or reference signal design by RAN1. </w:t>
      </w:r>
    </w:p>
    <w:p w14:paraId="14D5EABE" w14:textId="1AB90A0F" w:rsidR="009B3B09" w:rsidRDefault="009B3B09" w:rsidP="00241E72">
      <w:r w:rsidRPr="00674CA6">
        <w:rPr>
          <w:b/>
          <w:bCs/>
        </w:rPr>
        <w:t xml:space="preserve">Observation </w:t>
      </w:r>
      <w:r w:rsidR="00FE3770" w:rsidRPr="00674CA6">
        <w:rPr>
          <w:b/>
          <w:bCs/>
        </w:rPr>
        <w:t>2</w:t>
      </w:r>
      <w:r w:rsidRPr="00674CA6">
        <w:rPr>
          <w:b/>
          <w:bCs/>
        </w:rPr>
        <w:t>:</w:t>
      </w:r>
      <w:r>
        <w:t xml:space="preserve"> No reference signal work is needed in RAN1 to support Rel-15 NR RRM measurements for E-CID. </w:t>
      </w:r>
    </w:p>
    <w:p w14:paraId="0788058F" w14:textId="47C39FA4" w:rsidR="00602298" w:rsidRDefault="00602298" w:rsidP="00241E72">
      <w:r w:rsidRPr="00674CA6">
        <w:rPr>
          <w:b/>
          <w:bCs/>
        </w:rPr>
        <w:t xml:space="preserve">Proposal </w:t>
      </w:r>
      <w:r w:rsidR="00FE3770" w:rsidRPr="00674CA6">
        <w:rPr>
          <w:b/>
          <w:bCs/>
        </w:rPr>
        <w:t>12</w:t>
      </w:r>
      <w:r w:rsidR="00A71812" w:rsidRPr="00674CA6">
        <w:rPr>
          <w:b/>
          <w:bCs/>
        </w:rPr>
        <w:t>:</w:t>
      </w:r>
      <w:r w:rsidR="00A71812">
        <w:t xml:space="preserve"> Reference signal work and design for NR positioning support should not take E-CID into account. </w:t>
      </w:r>
    </w:p>
    <w:p w14:paraId="436D1A96" w14:textId="7DD6D7B3" w:rsidR="009B3B09" w:rsidRDefault="009B3B09" w:rsidP="00241E72">
      <w:bookmarkStart w:id="2" w:name="_Hlk4508044"/>
      <w:r>
        <w:t>In addition to Rel-15 NR RRM measurements it is possible that additional measurements will be added to NR E-CID in Rel-16. In a previous contribution [</w:t>
      </w:r>
      <w:r w:rsidRPr="00674CA6">
        <w:t>5</w:t>
      </w:r>
      <w:r>
        <w:t>] we highlight</w:t>
      </w:r>
      <w:r w:rsidR="00602298">
        <w:t>ed</w:t>
      </w:r>
      <w:r>
        <w:t xml:space="preserve"> that the following additional measurement should be considered for E-CID Rel-16:</w:t>
      </w:r>
    </w:p>
    <w:p w14:paraId="53047908" w14:textId="77777777" w:rsidR="009B3B09" w:rsidRPr="001E163E" w:rsidRDefault="009B3B09" w:rsidP="009B3B09">
      <w:pPr>
        <w:pStyle w:val="ListParagraph"/>
        <w:numPr>
          <w:ilvl w:val="0"/>
          <w:numId w:val="17"/>
        </w:numPr>
        <w:rPr>
          <w:sz w:val="20"/>
          <w:szCs w:val="20"/>
          <w:lang w:val="en-US"/>
        </w:rPr>
      </w:pPr>
      <w:r w:rsidRPr="001E163E">
        <w:rPr>
          <w:sz w:val="20"/>
          <w:szCs w:val="20"/>
          <w:lang w:val="en-US"/>
        </w:rPr>
        <w:t>UE Rx-Tx time difference</w:t>
      </w:r>
    </w:p>
    <w:p w14:paraId="6DA40D95" w14:textId="77777777" w:rsidR="009B3B09" w:rsidRPr="001E163E" w:rsidRDefault="009B3B09" w:rsidP="009B3B09">
      <w:pPr>
        <w:pStyle w:val="ListParagraph"/>
        <w:numPr>
          <w:ilvl w:val="0"/>
          <w:numId w:val="17"/>
        </w:numPr>
        <w:rPr>
          <w:sz w:val="20"/>
          <w:szCs w:val="20"/>
          <w:lang w:val="en-US"/>
        </w:rPr>
      </w:pPr>
      <w:r w:rsidRPr="4E634DE7">
        <w:rPr>
          <w:sz w:val="20"/>
          <w:szCs w:val="20"/>
          <w:lang w:val="en-US"/>
        </w:rPr>
        <w:t>gNB Tx-Rx time difference</w:t>
      </w:r>
    </w:p>
    <w:p w14:paraId="49A9F9A0" w14:textId="361DE3F7" w:rsidR="009B3B09" w:rsidRPr="00602298" w:rsidRDefault="009B3B09" w:rsidP="009B3B09">
      <w:pPr>
        <w:pStyle w:val="ListParagraph"/>
        <w:numPr>
          <w:ilvl w:val="0"/>
          <w:numId w:val="17"/>
        </w:numPr>
        <w:rPr>
          <w:lang w:val="en-US"/>
        </w:rPr>
      </w:pPr>
      <w:r>
        <w:rPr>
          <w:sz w:val="20"/>
          <w:szCs w:val="20"/>
          <w:lang w:val="en-US"/>
        </w:rPr>
        <w:t>Uplink Angle of Arrival, including elevation angle</w:t>
      </w:r>
    </w:p>
    <w:p w14:paraId="3BCABF13" w14:textId="6E72E092" w:rsidR="00602298" w:rsidRDefault="00602298" w:rsidP="00602298">
      <w:pPr>
        <w:rPr>
          <w:lang w:val="en-US"/>
        </w:rPr>
      </w:pPr>
    </w:p>
    <w:p w14:paraId="481E42F7" w14:textId="40AA2D1B" w:rsidR="00602298" w:rsidRDefault="68D092B6" w:rsidP="68D092B6">
      <w:pPr>
        <w:rPr>
          <w:lang w:val="en-US"/>
        </w:rPr>
      </w:pPr>
      <w:r w:rsidRPr="68D092B6">
        <w:rPr>
          <w:lang w:val="en-US"/>
        </w:rPr>
        <w:t xml:space="preserve">These measurements have already been agreed to be part of the WI scope. </w:t>
      </w:r>
    </w:p>
    <w:p w14:paraId="0CE62AB4" w14:textId="67E48CF3" w:rsidR="009B3B09" w:rsidRPr="00E1652F" w:rsidRDefault="00602298" w:rsidP="5B7ECE71">
      <w:r w:rsidRPr="00674CA6">
        <w:rPr>
          <w:b/>
          <w:bCs/>
          <w:lang w:val="en-US"/>
        </w:rPr>
        <w:lastRenderedPageBreak/>
        <w:t xml:space="preserve">Proposal </w:t>
      </w:r>
      <w:r w:rsidR="00FE3770" w:rsidRPr="00674CA6">
        <w:rPr>
          <w:b/>
          <w:bCs/>
          <w:lang w:val="en-US"/>
        </w:rPr>
        <w:t>13</w:t>
      </w:r>
      <w:r w:rsidRPr="00674CA6">
        <w:rPr>
          <w:b/>
          <w:bCs/>
          <w:lang w:val="en-US"/>
        </w:rPr>
        <w:t>:</w:t>
      </w:r>
      <w:r>
        <w:rPr>
          <w:lang w:val="en-US"/>
        </w:rPr>
        <w:t xml:space="preserve"> The decision on the specific measurements that are used for E-CID in Rel-16 should be left to RAN2. </w:t>
      </w:r>
      <w:bookmarkEnd w:id="2"/>
    </w:p>
    <w:p w14:paraId="2FCABF50" w14:textId="2839C9E5" w:rsidR="4D62406C" w:rsidRDefault="4D62406C" w:rsidP="00674CA6">
      <w:pPr>
        <w:pStyle w:val="Heading2"/>
      </w:pPr>
      <w:r>
        <w:t>UL- PRS Design</w:t>
      </w:r>
    </w:p>
    <w:p w14:paraId="1A98F6B8" w14:textId="4B13900E" w:rsidR="006B4B3E" w:rsidRPr="00674CA6" w:rsidRDefault="00083EF6" w:rsidP="00674CA6">
      <w:pPr>
        <w:pStyle w:val="paragraph"/>
        <w:spacing w:before="0" w:beforeAutospacing="0" w:after="180" w:afterAutospacing="0"/>
        <w:jc w:val="both"/>
        <w:textAlignment w:val="baseline"/>
        <w:rPr>
          <w:rFonts w:ascii="Times New Roman" w:hAnsi="Times New Roman" w:cs="Times New Roman"/>
          <w:sz w:val="20"/>
          <w:szCs w:val="20"/>
        </w:rPr>
      </w:pPr>
      <w:r w:rsidRPr="00674CA6">
        <w:rPr>
          <w:rFonts w:ascii="Times New Roman" w:eastAsia="Times New Roman" w:hAnsi="Times New Roman" w:cs="Times New Roman"/>
          <w:sz w:val="20"/>
          <w:szCs w:val="20"/>
          <w:lang w:val="en-GB" w:eastAsia="en-US"/>
        </w:rPr>
        <w:t xml:space="preserve">In </w:t>
      </w:r>
      <w:r w:rsidR="00F86653" w:rsidRPr="00674CA6">
        <w:rPr>
          <w:rFonts w:ascii="Times New Roman" w:eastAsia="Times New Roman" w:hAnsi="Times New Roman" w:cs="Times New Roman"/>
          <w:sz w:val="20"/>
          <w:szCs w:val="20"/>
          <w:lang w:val="en-GB" w:eastAsia="en-US"/>
        </w:rPr>
        <w:t>the NR positioning SI</w:t>
      </w:r>
      <w:r w:rsidRPr="00674CA6">
        <w:rPr>
          <w:rFonts w:ascii="Times New Roman" w:eastAsia="Times New Roman" w:hAnsi="Times New Roman" w:cs="Times New Roman"/>
          <w:sz w:val="20"/>
          <w:szCs w:val="20"/>
          <w:lang w:val="en-GB" w:eastAsia="en-US"/>
        </w:rPr>
        <w:t>, NR SRS has been agreed to be a baseline reference signal for UL positioning. It is reasonable to consider SRS as baseline because it is used for LTE-A UL positioning reference signal, so the same conceptual operation can be defined in NR UL positioning as well. While NR SRS has similarit</w:t>
      </w:r>
      <w:r w:rsidR="6361E8DA" w:rsidRPr="00674CA6">
        <w:rPr>
          <w:rFonts w:ascii="Times New Roman" w:eastAsia="Times New Roman" w:hAnsi="Times New Roman" w:cs="Times New Roman"/>
          <w:sz w:val="20"/>
          <w:szCs w:val="20"/>
          <w:lang w:val="en-GB" w:eastAsia="en-US"/>
        </w:rPr>
        <w:t>ies</w:t>
      </w:r>
      <w:r w:rsidRPr="00674CA6">
        <w:rPr>
          <w:rFonts w:ascii="Times New Roman" w:eastAsia="Times New Roman" w:hAnsi="Times New Roman" w:cs="Times New Roman"/>
          <w:sz w:val="20"/>
          <w:szCs w:val="20"/>
          <w:lang w:val="en-GB" w:eastAsia="en-US"/>
        </w:rPr>
        <w:t xml:space="preserve"> </w:t>
      </w:r>
      <w:r w:rsidR="6361E8DA" w:rsidRPr="00674CA6">
        <w:rPr>
          <w:rFonts w:ascii="Times New Roman" w:eastAsia="Times New Roman" w:hAnsi="Times New Roman" w:cs="Times New Roman"/>
          <w:sz w:val="20"/>
          <w:szCs w:val="20"/>
          <w:lang w:val="en-GB" w:eastAsia="en-US"/>
        </w:rPr>
        <w:t>to</w:t>
      </w:r>
      <w:r w:rsidRPr="00674CA6">
        <w:rPr>
          <w:rFonts w:ascii="Times New Roman" w:eastAsia="Times New Roman" w:hAnsi="Times New Roman" w:cs="Times New Roman"/>
          <w:sz w:val="20"/>
          <w:szCs w:val="20"/>
          <w:lang w:val="en-GB" w:eastAsia="en-US"/>
        </w:rPr>
        <w:t xml:space="preserve"> LTE SRS, there exist additional features in NR SRS d</w:t>
      </w:r>
      <w:r w:rsidR="005B5D98" w:rsidRPr="00674CA6">
        <w:rPr>
          <w:rFonts w:ascii="Times New Roman" w:eastAsia="Times New Roman" w:hAnsi="Times New Roman" w:cs="Times New Roman"/>
          <w:sz w:val="20"/>
          <w:szCs w:val="20"/>
          <w:lang w:val="en-GB" w:eastAsia="en-US"/>
        </w:rPr>
        <w:t>esign</w:t>
      </w:r>
      <w:r w:rsidRPr="00674CA6">
        <w:rPr>
          <w:rFonts w:ascii="Times New Roman" w:eastAsia="Times New Roman" w:hAnsi="Times New Roman" w:cs="Times New Roman"/>
          <w:sz w:val="20"/>
          <w:szCs w:val="20"/>
          <w:lang w:val="en-GB" w:eastAsia="en-US"/>
        </w:rPr>
        <w:t>. Further discussion is required to review NR SRS for UL positioning purpose.</w:t>
      </w:r>
      <w:r w:rsidRPr="003B3752">
        <w:rPr>
          <w:rStyle w:val="normaltextrun"/>
        </w:rPr>
        <w:t xml:space="preserve"> </w:t>
      </w:r>
    </w:p>
    <w:p w14:paraId="1D14A0A5" w14:textId="77777777" w:rsidR="00083EF6" w:rsidRPr="006B4B3E" w:rsidRDefault="00083EF6" w:rsidP="00674CA6">
      <w:pPr>
        <w:pStyle w:val="Heading3"/>
      </w:pPr>
      <w:r w:rsidRPr="00674CA6">
        <w:t xml:space="preserve">Comb-N structure with staggering REs </w:t>
      </w:r>
    </w:p>
    <w:p w14:paraId="788ACD21" w14:textId="0AB6CF89" w:rsidR="00083EF6" w:rsidRPr="001D7DC4" w:rsidRDefault="00083EF6" w:rsidP="00674CA6">
      <w:pPr>
        <w:spacing w:line="259" w:lineRule="auto"/>
      </w:pPr>
      <w:r w:rsidRPr="001D7DC4">
        <w:t>First, RAN1 needs to di</w:t>
      </w:r>
      <w:r w:rsidR="770A784C" w:rsidRPr="001D7DC4">
        <w:t>s</w:t>
      </w:r>
      <w:r w:rsidRPr="001D7DC4">
        <w:t>cuss the resource allocation of UL PRS based on UL SRS allocation structure.</w:t>
      </w:r>
      <w:r w:rsidR="009A690E">
        <w:t xml:space="preserve"> During the SI</w:t>
      </w:r>
      <w:r w:rsidRPr="009A690E">
        <w:t>, basic UL-PRS discussion has been done</w:t>
      </w:r>
      <w:r w:rsidR="001D7DC4" w:rsidRPr="5B7ECE71">
        <w:t xml:space="preserve"> </w:t>
      </w:r>
      <w:r w:rsidR="009A690E">
        <w:t>[7]</w:t>
      </w:r>
      <w:r w:rsidRPr="5B7ECE71">
        <w:t xml:space="preserve">, </w:t>
      </w:r>
      <w:r w:rsidRPr="001D7DC4">
        <w:t xml:space="preserve">in which comb structure and RE staggering has been discussed. </w:t>
      </w:r>
      <w:r w:rsidR="005B5D98">
        <w:t>I</w:t>
      </w:r>
      <w:r w:rsidRPr="001D7DC4">
        <w:t xml:space="preserve">n Rel-15 SRS, it is feasible to allocate SRS </w:t>
      </w:r>
      <w:r w:rsidR="005B5D98">
        <w:t>by</w:t>
      </w:r>
      <w:r w:rsidRPr="001D7DC4">
        <w:t xml:space="preserve"> configuring multiple SRS resources with different slot offset and comb offset for orthogonality between UEs</w:t>
      </w:r>
      <w:r w:rsidRPr="003B3752">
        <w:t xml:space="preserve">. In conclusion, comb-2 or comb-4 with staggering allocation is already possible under Rel-15 spec. Figure </w:t>
      </w:r>
      <w:r w:rsidR="00FE3770" w:rsidRPr="00674CA6">
        <w:t>3</w:t>
      </w:r>
      <w:r w:rsidRPr="003B3752">
        <w:t xml:space="preserve"> illustrates SRS comb structure example. As we analyse Rel-15 spec, Comb-1 SRS is not support</w:t>
      </w:r>
      <w:r w:rsidR="5DDAE991" w:rsidRPr="001D7DC4">
        <w:t>ed</w:t>
      </w:r>
      <w:r w:rsidRPr="003B3752">
        <w:t>. Comb-2 and Comb-4 are support</w:t>
      </w:r>
      <w:r w:rsidR="5DDAE991" w:rsidRPr="003B3752">
        <w:t>ed</w:t>
      </w:r>
      <w:r w:rsidRPr="003B3752">
        <w:t xml:space="preserve">. Also, if wanting to make the staggering structure, multiple SRS resource configuration can be configured with different RE offsets, since RE offset can be configured differently per </w:t>
      </w:r>
      <w:proofErr w:type="gramStart"/>
      <w:r w:rsidRPr="003B3752">
        <w:t>a</w:t>
      </w:r>
      <w:proofErr w:type="gramEnd"/>
      <w:r w:rsidRPr="003B3752">
        <w:t xml:space="preserve"> SRS resource configuration. For example, Comb-4 with staggering can be configured as 4 SRS resource configurations having comb-4 in a single symbol and staggering RE offset in each SRS resource configuration. Comb-4 with 2-tone-offset staggering is also possible in this way.</w:t>
      </w:r>
    </w:p>
    <w:p w14:paraId="6A821E2E" w14:textId="40BA1FC7" w:rsidR="00F705C7" w:rsidRPr="001D7DC4" w:rsidRDefault="00083EF6" w:rsidP="00674CA6">
      <w:pPr>
        <w:spacing w:line="259" w:lineRule="auto"/>
      </w:pPr>
      <w:r w:rsidRPr="00983109">
        <w:rPr>
          <w:b/>
          <w:bCs/>
        </w:rPr>
        <w:t xml:space="preserve">Observation </w:t>
      </w:r>
      <w:r w:rsidR="00FE3770" w:rsidRPr="00674CA6">
        <w:rPr>
          <w:b/>
          <w:bCs/>
        </w:rPr>
        <w:t>3</w:t>
      </w:r>
      <w:r w:rsidRPr="00983109">
        <w:rPr>
          <w:b/>
          <w:bCs/>
        </w:rPr>
        <w:t>:</w:t>
      </w:r>
      <w:r w:rsidRPr="5B7ECE71">
        <w:t xml:space="preserve"> </w:t>
      </w:r>
      <w:r w:rsidRPr="00674CA6">
        <w:t>SRS comb-2 or comb-4 with staggering allocation is possible under Rel-15 spec</w:t>
      </w:r>
      <w:r w:rsidR="00783657">
        <w:t>.</w:t>
      </w:r>
    </w:p>
    <w:p w14:paraId="2C54A310" w14:textId="2B8C8A32" w:rsidR="00083EF6" w:rsidRDefault="00083EF6" w:rsidP="00083EF6">
      <w:pPr>
        <w:pStyle w:val="paragraph"/>
        <w:spacing w:before="0" w:beforeAutospacing="0" w:after="180" w:afterAutospacing="0"/>
        <w:jc w:val="both"/>
        <w:textAlignment w:val="baseline"/>
        <w:rPr>
          <w:rFonts w:ascii="Times New Roman" w:hAnsi="Times New Roman" w:cs="Times New Roman"/>
          <w:sz w:val="20"/>
          <w:szCs w:val="20"/>
          <w:lang w:val="en-GB"/>
        </w:rPr>
      </w:pPr>
    </w:p>
    <w:p w14:paraId="46006C76" w14:textId="77777777" w:rsidR="00083EF6" w:rsidRDefault="00083EF6" w:rsidP="00083EF6">
      <w:pPr>
        <w:pStyle w:val="paragraph"/>
        <w:spacing w:before="0" w:beforeAutospacing="0" w:after="180" w:afterAutospacing="0"/>
        <w:jc w:val="center"/>
        <w:textAlignment w:val="baseline"/>
        <w:rPr>
          <w:rFonts w:ascii="Times New Roman" w:hAnsi="Times New Roman" w:cs="Times New Roman"/>
          <w:sz w:val="20"/>
          <w:szCs w:val="20"/>
          <w:lang w:eastAsia="en-US"/>
        </w:rPr>
      </w:pPr>
      <w:r>
        <w:object w:dxaOrig="7718" w:dyaOrig="6360" w14:anchorId="4455DD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261.5pt" o:ole="">
            <v:imagedata r:id="rId15" o:title=""/>
          </v:shape>
          <o:OLEObject Type="Embed" ProgID="Visio.Drawing.15" ShapeID="_x0000_i1025" DrawAspect="Content" ObjectID="_1615708589" r:id="rId16"/>
        </w:object>
      </w:r>
    </w:p>
    <w:p w14:paraId="57FBBFDD" w14:textId="34F54EE6" w:rsidR="00083EF6" w:rsidRDefault="00083EF6">
      <w:pPr>
        <w:spacing w:line="259" w:lineRule="auto"/>
      </w:pPr>
      <w:r w:rsidRPr="00A04263">
        <w:t xml:space="preserve">Figure </w:t>
      </w:r>
      <w:r w:rsidR="00FE3770">
        <w:t>3</w:t>
      </w:r>
      <w:r w:rsidRPr="38076F22">
        <w:t>:</w:t>
      </w:r>
      <w:r w:rsidRPr="00A04263">
        <w:t xml:space="preserve"> Positioning signal frequency </w:t>
      </w:r>
      <w:proofErr w:type="gramStart"/>
      <w:r w:rsidRPr="00A04263">
        <w:t>density :</w:t>
      </w:r>
      <w:proofErr w:type="gramEnd"/>
      <w:r w:rsidRPr="00A04263">
        <w:t xml:space="preserve"> </w:t>
      </w:r>
      <w:r w:rsidRPr="00674CA6">
        <w:t>Comb-1 contiguous tone</w:t>
      </w:r>
      <w:r w:rsidRPr="00A04263">
        <w:t xml:space="preserve">, Comb-2 with staggering, Comb-4 with 2-tone offset staggering, and Comb 4 with staggering.  </w:t>
      </w:r>
    </w:p>
    <w:p w14:paraId="6FFC6948" w14:textId="2A211C0D" w:rsidR="00083EF6" w:rsidRPr="00674CA6" w:rsidRDefault="00083EF6" w:rsidP="00674CA6">
      <w:pPr>
        <w:spacing w:line="259" w:lineRule="auto"/>
        <w:rPr>
          <w:rStyle w:val="eop"/>
        </w:rPr>
      </w:pPr>
      <w:r w:rsidRPr="00A04263">
        <w:t>Further comb-</w:t>
      </w:r>
      <w:r w:rsidRPr="00674CA6">
        <w:t>N</w:t>
      </w:r>
      <w:r w:rsidRPr="00A04263">
        <w:t xml:space="preserve"> struct</w:t>
      </w:r>
      <w:r w:rsidR="2325766C" w:rsidRPr="00A04263">
        <w:t>u</w:t>
      </w:r>
      <w:r w:rsidRPr="00A04263">
        <w:t>re</w:t>
      </w:r>
      <w:r w:rsidRPr="001A70A7">
        <w:t xml:space="preserve"> needs to be discussed w</w:t>
      </w:r>
      <w:r w:rsidR="005B5D98">
        <w:t>hen</w:t>
      </w:r>
      <w:r w:rsidRPr="001A70A7">
        <w:t xml:space="preserve"> studying positioning performance. </w:t>
      </w:r>
      <w:r w:rsidRPr="00674CA6">
        <w:t>The U</w:t>
      </w:r>
      <w:r w:rsidR="005B5D98">
        <w:t>L-</w:t>
      </w:r>
      <w:r w:rsidRPr="00674CA6">
        <w:t xml:space="preserve">TDOA positioning method </w:t>
      </w:r>
      <w:r w:rsidR="005B5D98">
        <w:t>may</w:t>
      </w:r>
      <w:r w:rsidRPr="00674CA6">
        <w:t xml:space="preserve"> occup</w:t>
      </w:r>
      <w:r w:rsidR="005B5D98">
        <w:t>y</w:t>
      </w:r>
      <w:r w:rsidRPr="00674CA6">
        <w:t xml:space="preserve"> more network resources than the </w:t>
      </w:r>
      <w:r w:rsidR="005B5D98">
        <w:t>DL-</w:t>
      </w:r>
      <w:r w:rsidRPr="00674CA6">
        <w:t>TDOA positioning method, when many UEs request positioning service simultaneously. Each of</w:t>
      </w:r>
      <w:r w:rsidR="005B5D98">
        <w:t xml:space="preserve"> the</w:t>
      </w:r>
      <w:r w:rsidRPr="00674CA6">
        <w:t xml:space="preserve"> UEs requesting positioning service requires serving cell and every LMU to reserve resource for receiving positioning reference signal (e.g., SRS). </w:t>
      </w:r>
      <w:r w:rsidRPr="00A04263">
        <w:t xml:space="preserve">First, </w:t>
      </w:r>
      <w:r w:rsidRPr="00674CA6">
        <w:t>comb-1</w:t>
      </w:r>
      <w:r w:rsidRPr="00A04263">
        <w:t xml:space="preserve"> structure may have benefit to cover long delay spread. When </w:t>
      </w:r>
      <w:r w:rsidRPr="00674CA6">
        <w:t>N&gt;1</w:t>
      </w:r>
      <w:r w:rsidRPr="00A04263">
        <w:t>, ambiguity from aliasing may happen, however it is up to LMUs/gNBs deployment and channel delay and causes overhead in some use</w:t>
      </w:r>
      <w:r w:rsidR="2325766C" w:rsidRPr="00A04263">
        <w:t xml:space="preserve"> </w:t>
      </w:r>
      <w:r w:rsidRPr="00A04263">
        <w:t xml:space="preserve">cases like indoor. </w:t>
      </w:r>
      <w:r w:rsidRPr="00674CA6">
        <w:t xml:space="preserve">In this sense, a large ‘N’ will be proper to control overhead, but we agree there is aliasing ambiguity issue. Comb configurations needs to </w:t>
      </w:r>
      <w:r w:rsidR="005B5D98">
        <w:t>create a</w:t>
      </w:r>
      <w:r w:rsidRPr="00674CA6">
        <w:t xml:space="preserve"> balance between efficiency and performance with flexible structures. The comb-structure gives more flexible MU scheduling and the </w:t>
      </w:r>
      <w:r w:rsidRPr="00674CA6">
        <w:lastRenderedPageBreak/>
        <w:t xml:space="preserve">staggering RE structure has benefit to boost TX power from a UE. Especially, </w:t>
      </w:r>
      <w:r w:rsidR="005B5D98">
        <w:t xml:space="preserve">when </w:t>
      </w:r>
      <w:r w:rsidRPr="00674CA6">
        <w:t>RAN1 discusses SRS beam sweeping for UL position</w:t>
      </w:r>
      <w:r w:rsidR="2325766C" w:rsidRPr="00674CA6">
        <w:t>in</w:t>
      </w:r>
      <w:r w:rsidRPr="00674CA6">
        <w:t>g, it may need more flexible RE st</w:t>
      </w:r>
      <w:r w:rsidR="2325766C" w:rsidRPr="00674CA6">
        <w:t>r</w:t>
      </w:r>
      <w:r w:rsidRPr="00674CA6">
        <w:t xml:space="preserve">uctures such as N&gt;4 comb structure. </w:t>
      </w:r>
      <w:r w:rsidR="005B5D98">
        <w:t>W</w:t>
      </w:r>
      <w:r w:rsidRPr="00674CA6">
        <w:t xml:space="preserve">e think RAN1 needs to discuss comb-N structure with N&gt;4 for positioning purpose. </w:t>
      </w:r>
    </w:p>
    <w:p w14:paraId="415FF3DB" w14:textId="09E8CFD6" w:rsidR="00083EF6" w:rsidRPr="00A04263" w:rsidRDefault="00083EF6" w:rsidP="00674CA6">
      <w:pPr>
        <w:spacing w:line="259" w:lineRule="auto"/>
      </w:pPr>
      <w:r w:rsidRPr="00674CA6">
        <w:rPr>
          <w:b/>
          <w:bCs/>
        </w:rPr>
        <w:t xml:space="preserve">Proposal </w:t>
      </w:r>
      <w:r w:rsidR="00FE3770">
        <w:rPr>
          <w:b/>
          <w:bCs/>
        </w:rPr>
        <w:t>14</w:t>
      </w:r>
      <w:r w:rsidR="2FE51534" w:rsidRPr="00674CA6">
        <w:rPr>
          <w:b/>
          <w:bCs/>
        </w:rPr>
        <w:t>:</w:t>
      </w:r>
      <w:r w:rsidR="6FDB62BE" w:rsidRPr="00674CA6">
        <w:rPr>
          <w:b/>
          <w:bCs/>
        </w:rPr>
        <w:t xml:space="preserve"> </w:t>
      </w:r>
      <w:r w:rsidR="6FDB62BE" w:rsidRPr="00674CA6">
        <w:t>The baseline SRS for UL positioning is NR SRS comb-2 or comb-4 with staggering allocation with adopting Rel-15 NR SRS configurations.</w:t>
      </w:r>
    </w:p>
    <w:p w14:paraId="3806196B" w14:textId="38205A6F" w:rsidR="00083EF6" w:rsidRPr="00A04263" w:rsidRDefault="00083EF6" w:rsidP="00674CA6">
      <w:pPr>
        <w:spacing w:line="259" w:lineRule="auto"/>
      </w:pPr>
      <w:r w:rsidRPr="00674CA6">
        <w:rPr>
          <w:b/>
          <w:bCs/>
        </w:rPr>
        <w:t xml:space="preserve">Proposal </w:t>
      </w:r>
      <w:r w:rsidR="00FE3770">
        <w:rPr>
          <w:b/>
          <w:bCs/>
        </w:rPr>
        <w:t>15</w:t>
      </w:r>
      <w:r w:rsidRPr="00674CA6">
        <w:rPr>
          <w:b/>
          <w:bCs/>
        </w:rPr>
        <w:t>:</w:t>
      </w:r>
      <w:r w:rsidRPr="00674CA6">
        <w:t xml:space="preserve"> Consider comb-N SRS structure additionally for UL positioning with cases N&gt;4 (i.e. N=6), which requires Rel-15 SRS specification changes.  </w:t>
      </w:r>
    </w:p>
    <w:p w14:paraId="15A83B68" w14:textId="62F06345" w:rsidR="00BA4E6C" w:rsidRPr="00674CA6" w:rsidRDefault="00BA4E6C" w:rsidP="00674CA6">
      <w:pPr>
        <w:spacing w:line="259" w:lineRule="auto"/>
        <w:rPr>
          <w:rStyle w:val="normaltextrun"/>
        </w:rPr>
      </w:pPr>
      <w:r w:rsidRPr="00674CA6">
        <w:t>Contin</w:t>
      </w:r>
      <w:r w:rsidR="578C81EA" w:rsidRPr="00674CA6">
        <w:t>u</w:t>
      </w:r>
      <w:r w:rsidRPr="00674CA6">
        <w:t>ous SRS allocation in frequency REs (Comb-1) has been reviewed in Rel-15 SRS design discussions. Issues such as TX power, PAPR and UE capacity for SRS resources have been identified</w:t>
      </w:r>
      <w:r w:rsidR="00523B2C" w:rsidRPr="00674CA6">
        <w:t xml:space="preserve"> during Rel-15 SRS discussions</w:t>
      </w:r>
      <w:r w:rsidRPr="00674CA6">
        <w:t>, so there may not</w:t>
      </w:r>
      <w:r w:rsidR="005B5D98" w:rsidRPr="5B7ECE71">
        <w:t xml:space="preserve"> </w:t>
      </w:r>
      <w:r w:rsidRPr="00674CA6">
        <w:t xml:space="preserve">need to revisit the same issues in NR-Positioning discussion. Comb-2 with staggering is expected to perform like </w:t>
      </w:r>
      <w:r w:rsidR="00523B2C" w:rsidRPr="00674CA6">
        <w:t xml:space="preserve">the </w:t>
      </w:r>
      <w:r w:rsidRPr="00674CA6">
        <w:t>Comb-1 structure, this WI need</w:t>
      </w:r>
      <w:r w:rsidR="005B5D98">
        <w:t>s</w:t>
      </w:r>
      <w:r w:rsidRPr="00674CA6">
        <w:t xml:space="preserve"> to investigate Comb-1 benefit</w:t>
      </w:r>
      <w:r w:rsidR="005B5D98">
        <w:t xml:space="preserve"> to determine</w:t>
      </w:r>
      <w:r w:rsidRPr="00674CA6">
        <w:t xml:space="preserve"> if it is needed for positioning. </w:t>
      </w:r>
    </w:p>
    <w:p w14:paraId="61EAA555" w14:textId="2C121F6C" w:rsidR="00F87F6E" w:rsidRDefault="00C4646E" w:rsidP="5B7ECE71">
      <w:pPr>
        <w:pStyle w:val="Heading3"/>
      </w:pPr>
      <w:r>
        <w:t>SRS timing advanced control for positioning</w:t>
      </w:r>
    </w:p>
    <w:p w14:paraId="5B7C88A9" w14:textId="6140471B" w:rsidR="006374D3" w:rsidRDefault="004F6777" w:rsidP="5B7ECE71">
      <w:r>
        <w:rPr>
          <w:lang w:val="en-US"/>
        </w:rPr>
        <w:t xml:space="preserve">One behavior difference between </w:t>
      </w:r>
      <w:r w:rsidR="4300A28A">
        <w:t>p</w:t>
      </w:r>
      <w:r>
        <w:t xml:space="preserve">ositioning SRS and sounding SRS </w:t>
      </w:r>
      <w:r w:rsidR="001637C9">
        <w:t>can be found</w:t>
      </w:r>
      <w:r>
        <w:t xml:space="preserve"> regarding TA control</w:t>
      </w:r>
      <w:r w:rsidR="001637C9" w:rsidRPr="4FC3917F">
        <w:t>.</w:t>
      </w:r>
      <w:r w:rsidRPr="4FC3917F">
        <w:t xml:space="preserve"> </w:t>
      </w:r>
      <w:r>
        <w:t>Sounding mainly operates toward a serving cell</w:t>
      </w:r>
      <w:r w:rsidR="005B5D98">
        <w:t xml:space="preserve"> and </w:t>
      </w:r>
      <w:r>
        <w:t>Rel-15 SRS transmission ought to follow t</w:t>
      </w:r>
      <w:r w:rsidR="005B5D98">
        <w:t>he</w:t>
      </w:r>
      <w:r>
        <w:t xml:space="preserve"> TA control of the serving cell. Therefore, if taking Rel-15 TA control as a baseline for positioning, SRS TX timing for positioning </w:t>
      </w:r>
      <w:r w:rsidR="001707EC">
        <w:t xml:space="preserve">may </w:t>
      </w:r>
      <w:r>
        <w:t>become serving</w:t>
      </w:r>
      <w:r w:rsidRPr="4FC3917F">
        <w:t>-</w:t>
      </w:r>
      <w:r>
        <w:t>cell timing centric.</w:t>
      </w:r>
      <w:r w:rsidR="001707EC" w:rsidRPr="4FC3917F">
        <w:t xml:space="preserve"> </w:t>
      </w:r>
      <w:r>
        <w:t>However, position</w:t>
      </w:r>
      <w:r w:rsidR="4FC3917F">
        <w:t>in</w:t>
      </w:r>
      <w:r>
        <w:t>g SRS</w:t>
      </w:r>
      <w:r w:rsidRPr="4FC3917F">
        <w:t xml:space="preserve"> </w:t>
      </w:r>
      <w:r>
        <w:t>is required to be heard by neighbo</w:t>
      </w:r>
      <w:r w:rsidR="4300A28A">
        <w:t>u</w:t>
      </w:r>
      <w:r>
        <w:t xml:space="preserve">ring cells as well as a serving cell, </w:t>
      </w:r>
      <w:r w:rsidR="005B5D98">
        <w:t>so</w:t>
      </w:r>
      <w:r>
        <w:t xml:space="preserve"> such</w:t>
      </w:r>
      <w:r w:rsidRPr="4FC3917F">
        <w:t xml:space="preserve"> </w:t>
      </w:r>
      <w:r>
        <w:t xml:space="preserve">serving cell timing TA control </w:t>
      </w:r>
      <w:r w:rsidR="005B5D98">
        <w:t>may</w:t>
      </w:r>
      <w:r>
        <w:t xml:space="preserve"> be problematic.</w:t>
      </w:r>
      <w:r w:rsidR="001707EC" w:rsidRPr="4FC3917F">
        <w:t xml:space="preserve"> </w:t>
      </w:r>
      <w:r w:rsidR="00A14D68">
        <w:t xml:space="preserve">As Figure </w:t>
      </w:r>
      <w:r w:rsidR="00461EB5">
        <w:t>4</w:t>
      </w:r>
      <w:r w:rsidR="00A14D68">
        <w:t xml:space="preserve"> illustrated, if UEs transmit SRS based on serving cell TA control, the RX timing at neighbour cells can be more misaligned </w:t>
      </w:r>
      <w:r w:rsidR="00503E1C">
        <w:t xml:space="preserve">out of CP range </w:t>
      </w:r>
      <w:r w:rsidR="00A14D68">
        <w:t>comparing to no TA control</w:t>
      </w:r>
      <w:r w:rsidR="00503E1C" w:rsidRPr="4FC3917F">
        <w:t xml:space="preserve">, </w:t>
      </w:r>
      <w:r w:rsidR="005B5D98">
        <w:t>s</w:t>
      </w:r>
      <w:r w:rsidR="00A14D68">
        <w:t xml:space="preserve">o we think SRS for </w:t>
      </w:r>
      <w:r w:rsidR="4FC3917F" w:rsidRPr="00674CA6">
        <w:rPr>
          <w:lang w:val="en-US"/>
        </w:rPr>
        <w:t>positioning</w:t>
      </w:r>
      <w:r w:rsidR="00A14D68">
        <w:t xml:space="preserve"> can be </w:t>
      </w:r>
      <w:r w:rsidR="0037630F">
        <w:t xml:space="preserve">an </w:t>
      </w:r>
      <w:r w:rsidR="00A14D68">
        <w:t>exception case from the serving cell TA control.</w:t>
      </w:r>
      <w:r w:rsidR="00A14D68" w:rsidRPr="4FC3917F">
        <w:t xml:space="preserve"> </w:t>
      </w:r>
    </w:p>
    <w:p w14:paraId="2DB7E8C7" w14:textId="55A1FC37" w:rsidR="004F6777" w:rsidRDefault="006374D3" w:rsidP="004F6777">
      <w:r>
        <w:t xml:space="preserve">Rel-15 SRS is configured in a UE specific manner, and TA control for SRS transmission has not been specifically discussed. Since a goal of UL measurements is </w:t>
      </w:r>
      <w:proofErr w:type="spellStart"/>
      <w:r>
        <w:t>ToA</w:t>
      </w:r>
      <w:proofErr w:type="spellEnd"/>
      <w:r>
        <w:t xml:space="preserve">, such TA control loop targeting at a specific cell may distort </w:t>
      </w:r>
      <w:proofErr w:type="spellStart"/>
      <w:r>
        <w:t>ToA</w:t>
      </w:r>
      <w:proofErr w:type="spellEnd"/>
      <w:r>
        <w:t xml:space="preserve"> measurements, which will be one motivation to define a TA control for SRS transmission for positioning purpose. LTE has two types of SRS</w:t>
      </w:r>
      <w:r w:rsidR="0037630F">
        <w:t>:</w:t>
      </w:r>
      <w:r>
        <w:t xml:space="preserve"> cell specific SRS and </w:t>
      </w:r>
      <w:r w:rsidR="00A14D68">
        <w:t xml:space="preserve">dedicated SRS, but NR only takes dedicated SRS configuration concept. </w:t>
      </w:r>
      <w:r w:rsidR="00E06B68">
        <w:t>A</w:t>
      </w:r>
      <w:r w:rsidR="003A190E">
        <w:t>t least for TA, we</w:t>
      </w:r>
      <w:r w:rsidR="00A14D68">
        <w:t xml:space="preserve"> assume </w:t>
      </w:r>
      <w:r w:rsidR="003A190E">
        <w:t xml:space="preserve">need of </w:t>
      </w:r>
      <w:r w:rsidR="00A14D68">
        <w:t xml:space="preserve">a </w:t>
      </w:r>
      <w:r w:rsidR="003A190E">
        <w:t xml:space="preserve">kind of cell specific TA control for NR positioning. </w:t>
      </w:r>
    </w:p>
    <w:p w14:paraId="682D84FD" w14:textId="61C6E789" w:rsidR="00177D89" w:rsidRDefault="00177D89" w:rsidP="5B7ECE71">
      <w:r w:rsidRPr="00674CA6">
        <w:rPr>
          <w:b/>
          <w:bCs/>
        </w:rPr>
        <w:t xml:space="preserve">Observation </w:t>
      </w:r>
      <w:r w:rsidR="00FE3770" w:rsidRPr="00674CA6">
        <w:rPr>
          <w:b/>
          <w:bCs/>
        </w:rPr>
        <w:t>4</w:t>
      </w:r>
      <w:r w:rsidRPr="00674CA6">
        <w:rPr>
          <w:b/>
          <w:bCs/>
        </w:rPr>
        <w:t>:</w:t>
      </w:r>
      <w:r>
        <w:t xml:space="preserve"> TA control target</w:t>
      </w:r>
      <w:r w:rsidR="0037630F">
        <w:t>ed</w:t>
      </w:r>
      <w:r>
        <w:t xml:space="preserve"> at serving cell timing </w:t>
      </w:r>
      <w:r w:rsidR="0037630F">
        <w:t>may</w:t>
      </w:r>
      <w:r>
        <w:t xml:space="preserve"> be problematic for neighbour cells measurement. </w:t>
      </w:r>
      <w:r w:rsidR="0037630F">
        <w:t xml:space="preserve">It may be desirable for that </w:t>
      </w:r>
      <w:r>
        <w:t xml:space="preserve">UE specific TA control targeting serving cell timing not be applied to </w:t>
      </w:r>
      <w:r w:rsidR="0037630F">
        <w:t xml:space="preserve">all </w:t>
      </w:r>
      <w:r>
        <w:t>SRS transmission for positioning purpose.</w:t>
      </w:r>
    </w:p>
    <w:p w14:paraId="2360FC8C" w14:textId="037118F4" w:rsidR="007701CC" w:rsidRDefault="006374D3" w:rsidP="5B7ECE71">
      <w:r w:rsidRPr="00674CA6">
        <w:rPr>
          <w:b/>
          <w:bCs/>
        </w:rPr>
        <w:t xml:space="preserve">Proposal </w:t>
      </w:r>
      <w:r w:rsidR="00FE3770" w:rsidRPr="00674CA6">
        <w:rPr>
          <w:b/>
          <w:bCs/>
        </w:rPr>
        <w:t>16</w:t>
      </w:r>
      <w:r w:rsidRPr="00674CA6">
        <w:rPr>
          <w:b/>
          <w:bCs/>
        </w:rPr>
        <w:t>:</w:t>
      </w:r>
      <w:r w:rsidRPr="5B7ECE71">
        <w:t xml:space="preserve"> </w:t>
      </w:r>
      <w:r w:rsidR="004540E6">
        <w:t>Study TA control methods for SRS reception of neighbo</w:t>
      </w:r>
      <w:r w:rsidR="2F6639AC">
        <w:t>u</w:t>
      </w:r>
      <w:r w:rsidR="004540E6">
        <w:t>ring cells such as cell specific TA control or further enhancements</w:t>
      </w:r>
      <w:r w:rsidR="004540E6" w:rsidRPr="5B7ECE71">
        <w:t>.</w:t>
      </w:r>
    </w:p>
    <w:p w14:paraId="5DF6A8E9" w14:textId="77777777" w:rsidR="007701CC" w:rsidRDefault="007701CC"/>
    <w:p w14:paraId="653B439C" w14:textId="3FB70878" w:rsidR="1FAE4E7B" w:rsidRDefault="1FAE4E7B">
      <w:r>
        <w:rPr>
          <w:noProof/>
        </w:rPr>
        <w:drawing>
          <wp:inline distT="0" distB="0" distL="0" distR="0" wp14:anchorId="1EF38193" wp14:editId="7AB54526">
            <wp:extent cx="5993546" cy="1485900"/>
            <wp:effectExtent l="0" t="0" r="0" b="0"/>
            <wp:docPr id="98700699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7">
                      <a:extLst>
                        <a:ext uri="{28A0092B-C50C-407E-A947-70E740481C1C}">
                          <a14:useLocalDpi xmlns:a14="http://schemas.microsoft.com/office/drawing/2010/main" val="0"/>
                        </a:ext>
                      </a:extLst>
                    </a:blip>
                    <a:stretch>
                      <a:fillRect/>
                    </a:stretch>
                  </pic:blipFill>
                  <pic:spPr>
                    <a:xfrm>
                      <a:off x="0" y="0"/>
                      <a:ext cx="5993546" cy="1485900"/>
                    </a:xfrm>
                    <a:prstGeom prst="rect">
                      <a:avLst/>
                    </a:prstGeom>
                  </pic:spPr>
                </pic:pic>
              </a:graphicData>
            </a:graphic>
          </wp:inline>
        </w:drawing>
      </w:r>
    </w:p>
    <w:p w14:paraId="10A9DB3D" w14:textId="6427CACB" w:rsidR="00FB2101" w:rsidRPr="00674CA6" w:rsidRDefault="00A14D68" w:rsidP="00674CA6">
      <w:pPr>
        <w:jc w:val="center"/>
        <w:rPr>
          <w:lang w:val="en-US"/>
        </w:rPr>
      </w:pPr>
      <w:r w:rsidRPr="00674CA6">
        <w:rPr>
          <w:lang w:val="en-US"/>
        </w:rPr>
        <w:t xml:space="preserve">Figure </w:t>
      </w:r>
      <w:r w:rsidR="00461EB5">
        <w:rPr>
          <w:lang w:val="en-US"/>
        </w:rPr>
        <w:t>4</w:t>
      </w:r>
      <w:r w:rsidRPr="00674CA6">
        <w:rPr>
          <w:lang w:val="en-US"/>
        </w:rPr>
        <w:t xml:space="preserve">: </w:t>
      </w:r>
      <w:r w:rsidR="14A7980B" w:rsidRPr="00674CA6">
        <w:rPr>
          <w:lang w:val="en-US"/>
        </w:rPr>
        <w:t>I</w:t>
      </w:r>
      <w:r>
        <w:rPr>
          <w:lang w:val="en-US"/>
        </w:rPr>
        <w:t xml:space="preserve">llustration of </w:t>
      </w:r>
      <w:r w:rsidRPr="00674CA6">
        <w:rPr>
          <w:lang w:val="en-US"/>
        </w:rPr>
        <w:t>TA control and TX powe</w:t>
      </w:r>
      <w:r>
        <w:rPr>
          <w:lang w:val="en-US"/>
        </w:rPr>
        <w:t>r control issue</w:t>
      </w:r>
    </w:p>
    <w:p w14:paraId="244B4E74" w14:textId="3C1357A8" w:rsidR="14A054AA" w:rsidRPr="00461EB5" w:rsidRDefault="14A054AA" w:rsidP="00674CA6">
      <w:pPr>
        <w:jc w:val="center"/>
      </w:pPr>
    </w:p>
    <w:p w14:paraId="772121D4" w14:textId="1A1A6305" w:rsidR="00C4646E" w:rsidRDefault="00C4646E" w:rsidP="5B7ECE71">
      <w:pPr>
        <w:pStyle w:val="Heading3"/>
      </w:pPr>
      <w:r>
        <w:t>SRS TX power control for positioning</w:t>
      </w:r>
    </w:p>
    <w:p w14:paraId="0CD57550" w14:textId="3DDE6D6F" w:rsidR="00C4646E" w:rsidRDefault="00B3791B" w:rsidP="2F6639AC">
      <w:r>
        <w:t xml:space="preserve">TX power </w:t>
      </w:r>
      <w:r w:rsidR="00DC2610">
        <w:t>control has</w:t>
      </w:r>
      <w:r w:rsidR="00DC2610" w:rsidRPr="3A9BAB2D">
        <w:t xml:space="preserve"> </w:t>
      </w:r>
      <w:r>
        <w:t>also</w:t>
      </w:r>
      <w:r w:rsidR="00DC2610" w:rsidRPr="3A9BAB2D">
        <w:t xml:space="preserve"> </w:t>
      </w:r>
      <w:r w:rsidR="00DC2610">
        <w:t>a potential issue</w:t>
      </w:r>
      <w:r w:rsidR="655741C0">
        <w:t xml:space="preserve"> for both FR1 and FR2</w:t>
      </w:r>
      <w:r w:rsidR="0037630F">
        <w:t>,</w:t>
      </w:r>
      <w:r w:rsidR="00DC2610">
        <w:t xml:space="preserve"> TPC by a serving cell</w:t>
      </w:r>
      <w:r w:rsidR="000D28CF">
        <w:t xml:space="preserve">. In an example of UE1 and UE2 in Figure </w:t>
      </w:r>
      <w:r w:rsidR="00461EB5">
        <w:t>4</w:t>
      </w:r>
      <w:r w:rsidR="000D28CF">
        <w:t>, UE2 is located at a cell edge, so may tran</w:t>
      </w:r>
      <w:r w:rsidR="4FC3917F">
        <w:t>smi</w:t>
      </w:r>
      <w:r w:rsidR="000D28CF">
        <w:t>t SRS with</w:t>
      </w:r>
      <w:r w:rsidR="000D28CF" w:rsidRPr="3A9BAB2D">
        <w:t xml:space="preserve"> </w:t>
      </w:r>
      <w:r w:rsidR="000D28CF">
        <w:t xml:space="preserve">large power. </w:t>
      </w:r>
      <w:r w:rsidR="655741C0">
        <w:t>Even a</w:t>
      </w:r>
      <w:r w:rsidR="000D28CF">
        <w:t>ssuming quasi-omni</w:t>
      </w:r>
      <w:r w:rsidR="740C7680" w:rsidRPr="3A9BAB2D">
        <w:t>-</w:t>
      </w:r>
      <w:r w:rsidR="000D28CF">
        <w:t xml:space="preserve">direction TX of UE (balloon size </w:t>
      </w:r>
      <w:r w:rsidR="14A054AA">
        <w:t>simply</w:t>
      </w:r>
      <w:r w:rsidR="000D28CF">
        <w:t xml:space="preserve"> implies TX power level), a serving</w:t>
      </w:r>
      <w:r w:rsidR="000D28CF" w:rsidRPr="3A9BAB2D">
        <w:t xml:space="preserve"> </w:t>
      </w:r>
      <w:r w:rsidR="4864C39F">
        <w:t xml:space="preserve">cell </w:t>
      </w:r>
      <w:r w:rsidR="000D28CF">
        <w:t>and neighbo</w:t>
      </w:r>
      <w:r w:rsidR="740C7680">
        <w:t>u</w:t>
      </w:r>
      <w:r w:rsidR="000D28CF">
        <w:t>ring cells</w:t>
      </w:r>
      <w:r w:rsidR="000D28CF" w:rsidRPr="3A9BAB2D">
        <w:t xml:space="preserve"> </w:t>
      </w:r>
      <w:r w:rsidR="672BEDA5" w:rsidRPr="672BEDA5">
        <w:t>can</w:t>
      </w:r>
      <w:r w:rsidR="4864C39F" w:rsidRPr="3A9BAB2D">
        <w:t xml:space="preserve"> </w:t>
      </w:r>
      <w:r w:rsidR="000D28CF">
        <w:t>hear UE2 SRS</w:t>
      </w:r>
      <w:r w:rsidR="3A9BAB2D">
        <w:t xml:space="preserve"> in Figure </w:t>
      </w:r>
      <w:r w:rsidR="00461EB5">
        <w:t>4</w:t>
      </w:r>
      <w:r w:rsidR="000D28CF">
        <w:t xml:space="preserve">. </w:t>
      </w:r>
      <w:proofErr w:type="gramStart"/>
      <w:r w:rsidR="000D28CF">
        <w:t>However</w:t>
      </w:r>
      <w:proofErr w:type="gramEnd"/>
      <w:r w:rsidR="000D28CF" w:rsidRPr="3A9BAB2D">
        <w:t xml:space="preserve"> </w:t>
      </w:r>
      <w:r w:rsidR="000D28CF">
        <w:t>the neighbo</w:t>
      </w:r>
      <w:r w:rsidR="2F6639AC">
        <w:t>u</w:t>
      </w:r>
      <w:r w:rsidR="000D28CF">
        <w:t>r cell</w:t>
      </w:r>
      <w:r w:rsidR="672BEDA5">
        <w:t>s</w:t>
      </w:r>
      <w:r w:rsidR="000D28CF">
        <w:t xml:space="preserve"> may experi</w:t>
      </w:r>
      <w:r w:rsidR="567380E6">
        <w:t>enc</w:t>
      </w:r>
      <w:r w:rsidR="000D28CF">
        <w:t>e</w:t>
      </w:r>
      <w:r w:rsidR="000D28CF" w:rsidRPr="3A9BAB2D">
        <w:t xml:space="preserve"> </w:t>
      </w:r>
      <w:r w:rsidR="000D28CF">
        <w:t>hear</w:t>
      </w:r>
      <w:r w:rsidR="567380E6">
        <w:t>a</w:t>
      </w:r>
      <w:r w:rsidR="000D28CF">
        <w:t xml:space="preserve">bility issue on UE1, since its serving cell reduces TX power for </w:t>
      </w:r>
      <w:r w:rsidR="73F31950">
        <w:t xml:space="preserve">RX power </w:t>
      </w:r>
      <w:r w:rsidR="000D28CF">
        <w:t>balance in the serving</w:t>
      </w:r>
      <w:r w:rsidR="0037630F">
        <w:t xml:space="preserve"> cell</w:t>
      </w:r>
      <w:r w:rsidR="000D28CF">
        <w:t>.</w:t>
      </w:r>
      <w:r w:rsidR="00580CFC">
        <w:t xml:space="preserve"> If the serving cell configures</w:t>
      </w:r>
      <w:r w:rsidR="00580CFC" w:rsidRPr="3A9BAB2D">
        <w:t xml:space="preserve"> </w:t>
      </w:r>
      <w:r w:rsidR="00580CFC">
        <w:t xml:space="preserve">UE1 TX power for </w:t>
      </w:r>
      <w:r w:rsidR="00580CFC" w:rsidRPr="00580CFC">
        <w:t>neighbo</w:t>
      </w:r>
      <w:r w:rsidR="740C7680" w:rsidRPr="00580CFC">
        <w:t>u</w:t>
      </w:r>
      <w:r w:rsidR="00580CFC" w:rsidRPr="00580CFC">
        <w:t>ring</w:t>
      </w:r>
      <w:r w:rsidR="00580CFC" w:rsidRPr="3A9BAB2D">
        <w:t xml:space="preserve"> </w:t>
      </w:r>
      <w:r w:rsidR="00580CFC" w:rsidRPr="00580CFC">
        <w:lastRenderedPageBreak/>
        <w:t>gNBs</w:t>
      </w:r>
      <w:r w:rsidR="00580CFC">
        <w:t>, it cannot be a solution either due to interference issue causing in a serving cell.</w:t>
      </w:r>
      <w:r w:rsidR="00580CFC" w:rsidRPr="3A9BAB2D">
        <w:t xml:space="preserve"> </w:t>
      </w:r>
      <w:proofErr w:type="gramStart"/>
      <w:r w:rsidR="00580CFC">
        <w:t>Also</w:t>
      </w:r>
      <w:proofErr w:type="gramEnd"/>
      <w:r w:rsidR="00580CFC">
        <w:t xml:space="preserve"> max power or fixed power </w:t>
      </w:r>
      <w:r w:rsidR="00185152">
        <w:t xml:space="preserve">transmission </w:t>
      </w:r>
      <w:r w:rsidR="00580CFC">
        <w:t>on SRS for positioning also cannot resolve</w:t>
      </w:r>
      <w:r w:rsidR="00580CFC" w:rsidRPr="3A9BAB2D">
        <w:t xml:space="preserve"> </w:t>
      </w:r>
      <w:r w:rsidR="00185152">
        <w:t xml:space="preserve">the </w:t>
      </w:r>
      <w:r w:rsidR="00580CFC">
        <w:t>hea</w:t>
      </w:r>
      <w:r w:rsidR="567380E6">
        <w:t>ra</w:t>
      </w:r>
      <w:r w:rsidR="00580CFC">
        <w:t xml:space="preserve">bility issue and </w:t>
      </w:r>
      <w:r w:rsidR="00185152">
        <w:t xml:space="preserve">the </w:t>
      </w:r>
      <w:r w:rsidR="00580CFC">
        <w:t>interference issue</w:t>
      </w:r>
      <w:r w:rsidR="00580CFC" w:rsidRPr="3A9BAB2D">
        <w:t>.</w:t>
      </w:r>
      <w:r w:rsidR="00797AA9">
        <w:t xml:space="preserve"> Maybe power control on positioning SRS must be conducted in a limited manner. </w:t>
      </w:r>
    </w:p>
    <w:p w14:paraId="28D59FA2" w14:textId="37F76B15" w:rsidR="00C4646E" w:rsidRDefault="00B3791B" w:rsidP="07B39E99">
      <w:r w:rsidRPr="00674CA6">
        <w:rPr>
          <w:b/>
        </w:rPr>
        <w:t xml:space="preserve">Observation </w:t>
      </w:r>
      <w:r w:rsidR="00461EB5" w:rsidRPr="00674CA6">
        <w:rPr>
          <w:b/>
        </w:rPr>
        <w:t>5</w:t>
      </w:r>
      <w:r w:rsidRPr="00674CA6">
        <w:rPr>
          <w:b/>
        </w:rPr>
        <w:t>:</w:t>
      </w:r>
      <w:r w:rsidRPr="781ED33A">
        <w:t xml:space="preserve"> </w:t>
      </w:r>
      <w:r w:rsidR="233FF8B8" w:rsidRPr="1703FA0C">
        <w:t>N</w:t>
      </w:r>
      <w:r w:rsidR="005268D3">
        <w:t>eighbo</w:t>
      </w:r>
      <w:r w:rsidR="402B8C46">
        <w:t>u</w:t>
      </w:r>
      <w:r w:rsidR="005268D3">
        <w:t>r cell</w:t>
      </w:r>
      <w:r w:rsidR="233FF8B8">
        <w:t>s</w:t>
      </w:r>
      <w:r w:rsidR="005268D3">
        <w:t xml:space="preserve"> may experience hearability issue on </w:t>
      </w:r>
      <w:r w:rsidR="2A307146">
        <w:t xml:space="preserve">SRS transmission from </w:t>
      </w:r>
      <w:r w:rsidR="005268D3">
        <w:t>UEs locating clos</w:t>
      </w:r>
      <w:r w:rsidR="402B8C46">
        <w:t>e</w:t>
      </w:r>
      <w:r w:rsidR="005268D3">
        <w:t xml:space="preserve"> to the serving cell</w:t>
      </w:r>
      <w:r w:rsidR="2A307146" w:rsidRPr="781ED33A">
        <w:t xml:space="preserve"> </w:t>
      </w:r>
      <w:proofErr w:type="spellStart"/>
      <w:r w:rsidR="2A307146">
        <w:t>center</w:t>
      </w:r>
      <w:proofErr w:type="spellEnd"/>
      <w:r w:rsidR="233FF8B8" w:rsidRPr="781ED33A">
        <w:t xml:space="preserve"> </w:t>
      </w:r>
      <w:r w:rsidR="07B39E99">
        <w:t>d</w:t>
      </w:r>
      <w:r w:rsidR="233FF8B8">
        <w:t>u</w:t>
      </w:r>
      <w:r w:rsidR="07B39E99">
        <w:t xml:space="preserve">e to </w:t>
      </w:r>
      <w:r w:rsidR="3A4DB84D">
        <w:t>power control</w:t>
      </w:r>
      <w:r w:rsidR="3A4DB84D" w:rsidRPr="781ED33A">
        <w:t>.</w:t>
      </w:r>
    </w:p>
    <w:p w14:paraId="7B993CC1" w14:textId="51D2AFE9" w:rsidR="4008D6ED" w:rsidRDefault="4008D6ED">
      <w:r w:rsidRPr="00674CA6">
        <w:rPr>
          <w:b/>
        </w:rPr>
        <w:t xml:space="preserve">Proposal </w:t>
      </w:r>
      <w:r w:rsidR="00461EB5" w:rsidRPr="00674CA6">
        <w:rPr>
          <w:b/>
        </w:rPr>
        <w:t>17</w:t>
      </w:r>
      <w:r w:rsidRPr="00674CA6">
        <w:rPr>
          <w:b/>
        </w:rPr>
        <w:t>:</w:t>
      </w:r>
      <w:r>
        <w:t xml:space="preserve"> Study </w:t>
      </w:r>
      <w:r w:rsidR="207C5373">
        <w:t xml:space="preserve">further </w:t>
      </w:r>
      <w:r>
        <w:t>t</w:t>
      </w:r>
      <w:r w:rsidR="57FB48B2">
        <w:t>ransmission power control methods for UEs</w:t>
      </w:r>
      <w:r w:rsidR="0037630F">
        <w:t xml:space="preserve"> nearby to their serving cell,</w:t>
      </w:r>
      <w:r w:rsidR="57FB48B2">
        <w:t xml:space="preserve"> to improve hearability of neighbouring </w:t>
      </w:r>
      <w:r w:rsidR="207C5373">
        <w:t>cells</w:t>
      </w:r>
      <w:r w:rsidRPr="207C5373">
        <w:t>.</w:t>
      </w:r>
    </w:p>
    <w:p w14:paraId="4D1BB7F4" w14:textId="61BDDB3F" w:rsidR="00C4646E" w:rsidRDefault="00E02000" w:rsidP="5B7ECE71">
      <w:pPr>
        <w:pStyle w:val="Heading3"/>
      </w:pPr>
      <w:r>
        <w:t xml:space="preserve">UL </w:t>
      </w:r>
      <w:r w:rsidRPr="00674CA6">
        <w:t>beam correspondence</w:t>
      </w:r>
    </w:p>
    <w:p w14:paraId="173CF48D" w14:textId="6C108EA6" w:rsidR="00A67B8F" w:rsidRPr="00674CA6" w:rsidRDefault="00C0377F" w:rsidP="00674CA6">
      <w:pPr>
        <w:pStyle w:val="paragraph"/>
        <w:spacing w:before="0" w:beforeAutospacing="0" w:after="180" w:afterAutospacing="0"/>
        <w:jc w:val="both"/>
        <w:textAlignment w:val="baseline"/>
        <w:rPr>
          <w:rStyle w:val="normaltextrun"/>
          <w:rFonts w:ascii="Times New Roman" w:hAnsi="Times New Roman" w:cs="Times New Roman"/>
          <w:sz w:val="20"/>
          <w:szCs w:val="20"/>
        </w:rPr>
      </w:pPr>
      <w:r>
        <w:rPr>
          <w:rStyle w:val="normaltextrun"/>
          <w:rFonts w:ascii="Times New Roman" w:hAnsi="Times New Roman" w:cs="Times New Roman"/>
          <w:sz w:val="20"/>
          <w:szCs w:val="20"/>
        </w:rPr>
        <w:t>F</w:t>
      </w:r>
      <w:r w:rsidRPr="008028D8">
        <w:rPr>
          <w:rStyle w:val="normaltextrun"/>
          <w:rFonts w:ascii="Times New Roman" w:hAnsi="Times New Roman" w:cs="Times New Roman"/>
          <w:sz w:val="20"/>
          <w:szCs w:val="20"/>
        </w:rPr>
        <w:t xml:space="preserve">or FR2, </w:t>
      </w:r>
      <w:r>
        <w:rPr>
          <w:rStyle w:val="normaltextrun"/>
          <w:rFonts w:ascii="Times New Roman" w:hAnsi="Times New Roman" w:cs="Times New Roman"/>
          <w:sz w:val="20"/>
          <w:szCs w:val="20"/>
        </w:rPr>
        <w:t xml:space="preserve">the </w:t>
      </w:r>
      <w:r w:rsidR="330A0C68">
        <w:rPr>
          <w:rStyle w:val="normaltextrun"/>
          <w:rFonts w:ascii="Times New Roman" w:hAnsi="Times New Roman" w:cs="Times New Roman"/>
          <w:sz w:val="20"/>
          <w:szCs w:val="20"/>
        </w:rPr>
        <w:t>SI has iden</w:t>
      </w:r>
      <w:r w:rsidR="33A4A8DC" w:rsidRPr="00674CA6">
        <w:rPr>
          <w:rStyle w:val="normaltextrun"/>
          <w:rFonts w:ascii="Times New Roman" w:hAnsi="Times New Roman" w:cs="Times New Roman"/>
          <w:sz w:val="20"/>
          <w:szCs w:val="20"/>
        </w:rPr>
        <w:t>ti</w:t>
      </w:r>
      <w:r w:rsidR="330A0C68">
        <w:rPr>
          <w:rStyle w:val="normaltextrun"/>
          <w:rFonts w:ascii="Times New Roman" w:hAnsi="Times New Roman" w:cs="Times New Roman"/>
          <w:sz w:val="20"/>
          <w:szCs w:val="20"/>
        </w:rPr>
        <w:t xml:space="preserve">fied </w:t>
      </w:r>
      <w:r w:rsidR="0037630F">
        <w:rPr>
          <w:rStyle w:val="normaltextrun"/>
          <w:rFonts w:ascii="Times New Roman" w:hAnsi="Times New Roman" w:cs="Times New Roman"/>
          <w:sz w:val="20"/>
          <w:szCs w:val="20"/>
        </w:rPr>
        <w:t xml:space="preserve">a </w:t>
      </w:r>
      <w:r>
        <w:rPr>
          <w:rStyle w:val="normaltextrun"/>
          <w:rFonts w:ascii="Times New Roman" w:hAnsi="Times New Roman" w:cs="Times New Roman"/>
          <w:sz w:val="20"/>
          <w:szCs w:val="20"/>
        </w:rPr>
        <w:t>hearability issue</w:t>
      </w:r>
      <w:r w:rsidR="760D654E">
        <w:rPr>
          <w:rStyle w:val="normaltextrun"/>
          <w:rFonts w:ascii="Times New Roman" w:hAnsi="Times New Roman" w:cs="Times New Roman"/>
          <w:sz w:val="20"/>
          <w:szCs w:val="20"/>
        </w:rPr>
        <w:t xml:space="preserve"> in neighboring cells</w:t>
      </w:r>
      <w:r w:rsidR="33A4A8DC">
        <w:rPr>
          <w:rStyle w:val="normaltextrun"/>
          <w:rFonts w:ascii="Times New Roman" w:hAnsi="Times New Roman" w:cs="Times New Roman"/>
          <w:sz w:val="20"/>
          <w:szCs w:val="20"/>
        </w:rPr>
        <w:t xml:space="preserve"> regarding beamforming in [4]</w:t>
      </w:r>
      <w:r>
        <w:rPr>
          <w:rStyle w:val="normaltextrun"/>
          <w:rFonts w:ascii="Times New Roman" w:hAnsi="Times New Roman" w:cs="Times New Roman"/>
          <w:sz w:val="20"/>
          <w:szCs w:val="20"/>
        </w:rPr>
        <w:t xml:space="preserve">. </w:t>
      </w:r>
      <w:r w:rsidR="00A67B8F" w:rsidRPr="008F101D">
        <w:rPr>
          <w:rStyle w:val="normaltextrun"/>
          <w:rFonts w:ascii="Times New Roman" w:hAnsi="Times New Roman" w:cs="Times New Roman"/>
          <w:sz w:val="20"/>
          <w:szCs w:val="20"/>
        </w:rPr>
        <w:t>Rel-15 SRS-based beam management scheme is already supported</w:t>
      </w:r>
      <w:r w:rsidR="695A62B8" w:rsidRPr="008F101D">
        <w:rPr>
          <w:rStyle w:val="normaltextrun"/>
          <w:rFonts w:ascii="Times New Roman" w:hAnsi="Times New Roman" w:cs="Times New Roman"/>
          <w:sz w:val="20"/>
          <w:szCs w:val="20"/>
        </w:rPr>
        <w:t xml:space="preserve"> for a serving </w:t>
      </w:r>
      <w:proofErr w:type="gramStart"/>
      <w:r w:rsidR="695A62B8" w:rsidRPr="008F101D">
        <w:rPr>
          <w:rStyle w:val="normaltextrun"/>
          <w:rFonts w:ascii="Times New Roman" w:hAnsi="Times New Roman" w:cs="Times New Roman"/>
          <w:sz w:val="20"/>
          <w:szCs w:val="20"/>
        </w:rPr>
        <w:t>cell</w:t>
      </w:r>
      <w:r w:rsidR="00A67B8F" w:rsidRPr="008F101D">
        <w:rPr>
          <w:rStyle w:val="normaltextrun"/>
          <w:rFonts w:ascii="Times New Roman" w:hAnsi="Times New Roman" w:cs="Times New Roman"/>
          <w:sz w:val="20"/>
          <w:szCs w:val="20"/>
        </w:rPr>
        <w:t>,</w:t>
      </w:r>
      <w:proofErr w:type="gramEnd"/>
      <w:r w:rsidR="00A67B8F" w:rsidRPr="008F101D">
        <w:rPr>
          <w:rStyle w:val="normaltextrun"/>
          <w:rFonts w:ascii="Times New Roman" w:hAnsi="Times New Roman" w:cs="Times New Roman"/>
          <w:sz w:val="20"/>
          <w:szCs w:val="20"/>
        </w:rPr>
        <w:t xml:space="preserve"> a </w:t>
      </w:r>
      <w:r w:rsidR="00A67B8F">
        <w:rPr>
          <w:rStyle w:val="normaltextrun"/>
          <w:rFonts w:ascii="Times New Roman" w:hAnsi="Times New Roman" w:cs="Times New Roman"/>
          <w:sz w:val="20"/>
          <w:szCs w:val="20"/>
        </w:rPr>
        <w:t xml:space="preserve">TX and RX </w:t>
      </w:r>
      <w:r w:rsidR="00A67B8F" w:rsidRPr="008F101D">
        <w:rPr>
          <w:rStyle w:val="normaltextrun"/>
          <w:rFonts w:ascii="Times New Roman" w:hAnsi="Times New Roman" w:cs="Times New Roman"/>
          <w:sz w:val="20"/>
          <w:szCs w:val="20"/>
        </w:rPr>
        <w:t>can sweep the beams to find the best beam pair between a serving gNB and a UE.</w:t>
      </w:r>
      <w:r w:rsidR="00A67B8F">
        <w:rPr>
          <w:rStyle w:val="normaltextrun"/>
          <w:rFonts w:ascii="Times New Roman" w:hAnsi="Times New Roman" w:cs="Times New Roman"/>
          <w:sz w:val="20"/>
          <w:szCs w:val="20"/>
        </w:rPr>
        <w:t xml:space="preserve"> However, </w:t>
      </w:r>
      <w:r w:rsidR="00264E3E">
        <w:rPr>
          <w:rStyle w:val="normaltextrun"/>
          <w:rFonts w:ascii="Times New Roman" w:hAnsi="Times New Roman" w:cs="Times New Roman"/>
          <w:sz w:val="20"/>
          <w:szCs w:val="20"/>
        </w:rPr>
        <w:t xml:space="preserve">beam sweeping for positioning calculation </w:t>
      </w:r>
      <w:r w:rsidR="0037630F">
        <w:rPr>
          <w:rStyle w:val="normaltextrun"/>
          <w:rFonts w:ascii="Times New Roman" w:hAnsi="Times New Roman" w:cs="Times New Roman"/>
          <w:sz w:val="20"/>
          <w:szCs w:val="20"/>
        </w:rPr>
        <w:t xml:space="preserve">may </w:t>
      </w:r>
      <w:r w:rsidR="00264E3E">
        <w:rPr>
          <w:rStyle w:val="normaltextrun"/>
          <w:rFonts w:ascii="Times New Roman" w:hAnsi="Times New Roman" w:cs="Times New Roman"/>
          <w:sz w:val="20"/>
          <w:szCs w:val="20"/>
        </w:rPr>
        <w:t xml:space="preserve">require beam sweeping of neighbor gNBs as well as a serving cell, cost and burden to find a TX-RX beam correspondence become high. </w:t>
      </w:r>
      <w:r w:rsidR="00264E3E" w:rsidRPr="00264E3E">
        <w:rPr>
          <w:rStyle w:val="normaltextrun"/>
          <w:rFonts w:ascii="Times New Roman" w:hAnsi="Times New Roman" w:cs="Times New Roman"/>
          <w:sz w:val="20"/>
          <w:szCs w:val="20"/>
        </w:rPr>
        <w:t xml:space="preserve">One of the most straightforward </w:t>
      </w:r>
      <w:r w:rsidR="0037630F">
        <w:rPr>
          <w:rStyle w:val="normaltextrun"/>
          <w:rFonts w:ascii="Times New Roman" w:hAnsi="Times New Roman" w:cs="Times New Roman"/>
          <w:sz w:val="20"/>
          <w:szCs w:val="20"/>
        </w:rPr>
        <w:t xml:space="preserve">solutions </w:t>
      </w:r>
      <w:r w:rsidR="00264E3E" w:rsidRPr="00264E3E">
        <w:rPr>
          <w:rStyle w:val="normaltextrun"/>
          <w:rFonts w:ascii="Times New Roman" w:hAnsi="Times New Roman" w:cs="Times New Roman"/>
          <w:sz w:val="20"/>
          <w:szCs w:val="20"/>
        </w:rPr>
        <w:t>for UL RX beam management is to use of UL beam alignment at FR2 through DL reception and beam correspondence. It is true that the DL beam correspondence is the easiest way to obtain beam correspondence for UL, but a UE may not measure the SSB of all the cells that want to try to receive it for UL positioning.</w:t>
      </w:r>
      <w:r w:rsidR="0037630F">
        <w:rPr>
          <w:rStyle w:val="normaltextrun"/>
          <w:rFonts w:ascii="Times New Roman" w:hAnsi="Times New Roman" w:cs="Times New Roman"/>
          <w:sz w:val="20"/>
          <w:szCs w:val="20"/>
        </w:rPr>
        <w:t xml:space="preserve"> There may be other issue</w:t>
      </w:r>
      <w:r w:rsidR="00103565">
        <w:rPr>
          <w:rStyle w:val="normaltextrun"/>
          <w:rFonts w:ascii="Times New Roman" w:hAnsi="Times New Roman" w:cs="Times New Roman"/>
          <w:sz w:val="20"/>
          <w:szCs w:val="20"/>
        </w:rPr>
        <w:t>s</w:t>
      </w:r>
      <w:r w:rsidR="0037630F">
        <w:rPr>
          <w:rStyle w:val="normaltextrun"/>
          <w:rFonts w:ascii="Times New Roman" w:hAnsi="Times New Roman" w:cs="Times New Roman"/>
          <w:sz w:val="20"/>
          <w:szCs w:val="20"/>
        </w:rPr>
        <w:t xml:space="preserve"> with relying </w:t>
      </w:r>
      <w:proofErr w:type="spellStart"/>
      <w:r w:rsidR="0037630F">
        <w:rPr>
          <w:rStyle w:val="normaltextrun"/>
          <w:rFonts w:ascii="Times New Roman" w:hAnsi="Times New Roman" w:cs="Times New Roman"/>
          <w:sz w:val="20"/>
          <w:szCs w:val="20"/>
        </w:rPr>
        <w:t>soley</w:t>
      </w:r>
      <w:proofErr w:type="spellEnd"/>
      <w:r w:rsidR="0037630F">
        <w:rPr>
          <w:rStyle w:val="normaltextrun"/>
          <w:rFonts w:ascii="Times New Roman" w:hAnsi="Times New Roman" w:cs="Times New Roman"/>
          <w:sz w:val="20"/>
          <w:szCs w:val="20"/>
        </w:rPr>
        <w:t xml:space="preserve"> on beam correspondence for UL positioning.</w:t>
      </w:r>
    </w:p>
    <w:p w14:paraId="48184A34" w14:textId="3108941D" w:rsidR="005268D3" w:rsidRPr="001D7DC4" w:rsidRDefault="000E059D" w:rsidP="00674CA6">
      <w:pPr>
        <w:pStyle w:val="paragraph"/>
        <w:spacing w:before="0" w:beforeAutospacing="0" w:after="180" w:afterAutospacing="0"/>
        <w:jc w:val="both"/>
        <w:textAlignment w:val="baseline"/>
      </w:pPr>
      <w:r w:rsidRPr="00674CA6">
        <w:rPr>
          <w:rStyle w:val="normaltextrun"/>
          <w:rFonts w:ascii="Times New Roman" w:hAnsi="Times New Roman" w:cs="Times New Roman"/>
          <w:b/>
          <w:sz w:val="20"/>
          <w:szCs w:val="20"/>
        </w:rPr>
        <w:t xml:space="preserve">Observation </w:t>
      </w:r>
      <w:r w:rsidR="00461EB5" w:rsidRPr="00674CA6">
        <w:rPr>
          <w:rStyle w:val="normaltextrun"/>
          <w:rFonts w:ascii="Times New Roman" w:hAnsi="Times New Roman" w:cs="Times New Roman"/>
          <w:b/>
          <w:sz w:val="20"/>
          <w:szCs w:val="20"/>
        </w:rPr>
        <w:t>6</w:t>
      </w:r>
      <w:r w:rsidRPr="00674CA6">
        <w:rPr>
          <w:rStyle w:val="normaltextrun"/>
          <w:rFonts w:ascii="Times New Roman" w:hAnsi="Times New Roman" w:cs="Times New Roman"/>
          <w:b/>
          <w:sz w:val="20"/>
          <w:szCs w:val="20"/>
        </w:rPr>
        <w:t>:</w:t>
      </w:r>
      <w:r>
        <w:rPr>
          <w:rStyle w:val="normaltextrun"/>
          <w:rFonts w:ascii="Times New Roman" w:hAnsi="Times New Roman" w:cs="Times New Roman"/>
          <w:sz w:val="20"/>
          <w:szCs w:val="20"/>
        </w:rPr>
        <w:t xml:space="preserve"> U</w:t>
      </w:r>
      <w:r w:rsidRPr="00264E3E">
        <w:rPr>
          <w:rStyle w:val="normaltextrun"/>
          <w:rFonts w:ascii="Times New Roman" w:hAnsi="Times New Roman" w:cs="Times New Roman"/>
          <w:sz w:val="20"/>
          <w:szCs w:val="20"/>
        </w:rPr>
        <w:t xml:space="preserve">L beam correspondence </w:t>
      </w:r>
      <w:r>
        <w:rPr>
          <w:rStyle w:val="normaltextrun"/>
          <w:rFonts w:ascii="Times New Roman" w:hAnsi="Times New Roman" w:cs="Times New Roman"/>
          <w:sz w:val="20"/>
          <w:szCs w:val="20"/>
        </w:rPr>
        <w:t xml:space="preserve">relying on DL beam </w:t>
      </w:r>
      <w:r w:rsidRPr="00264E3E">
        <w:rPr>
          <w:rStyle w:val="normaltextrun"/>
          <w:rFonts w:ascii="Times New Roman" w:hAnsi="Times New Roman" w:cs="Times New Roman"/>
          <w:sz w:val="20"/>
          <w:szCs w:val="20"/>
        </w:rPr>
        <w:t>correspondence</w:t>
      </w:r>
      <w:r>
        <w:rPr>
          <w:rStyle w:val="normaltextrun"/>
          <w:rFonts w:ascii="Times New Roman" w:hAnsi="Times New Roman" w:cs="Times New Roman"/>
          <w:sz w:val="20"/>
          <w:szCs w:val="20"/>
        </w:rPr>
        <w:t xml:space="preserve"> (i.e. SSB/CSI-RS beam) cannot provide UL measurements enough at neighboring gNBs </w:t>
      </w:r>
      <w:r w:rsidRPr="00264E3E">
        <w:rPr>
          <w:rStyle w:val="normaltextrun"/>
          <w:rFonts w:ascii="Times New Roman" w:hAnsi="Times New Roman" w:cs="Times New Roman"/>
          <w:sz w:val="20"/>
          <w:szCs w:val="20"/>
        </w:rPr>
        <w:t>that want to try to receive it for UL positioning.</w:t>
      </w:r>
      <w:r w:rsidR="00103565">
        <w:rPr>
          <w:rStyle w:val="normaltextrun"/>
          <w:rFonts w:ascii="Times New Roman" w:hAnsi="Times New Roman" w:cs="Times New Roman"/>
          <w:sz w:val="20"/>
          <w:szCs w:val="20"/>
        </w:rPr>
        <w:t xml:space="preserve"> Further solutions may be needed.</w:t>
      </w:r>
    </w:p>
    <w:p w14:paraId="5601B3A8" w14:textId="2F76C53A" w:rsidR="00A14D68" w:rsidRDefault="00A14D68" w:rsidP="5B7ECE71">
      <w:pPr>
        <w:pStyle w:val="Heading3"/>
      </w:pPr>
      <w:r>
        <w:t xml:space="preserve">SRS configuration </w:t>
      </w:r>
      <w:r w:rsidR="00FF2611">
        <w:t>for posit</w:t>
      </w:r>
      <w:r w:rsidR="1703FA0C">
        <w:t>ion</w:t>
      </w:r>
      <w:r w:rsidR="00FF2611">
        <w:t>ing</w:t>
      </w:r>
    </w:p>
    <w:p w14:paraId="7ACF99E5" w14:textId="3126E9A3" w:rsidR="006B4B3E" w:rsidRDefault="00FF2611">
      <w:pPr>
        <w:rPr>
          <w:lang w:val="en-US"/>
        </w:rPr>
      </w:pPr>
      <w:r>
        <w:rPr>
          <w:lang w:val="en-US"/>
        </w:rPr>
        <w:t>From the discussions and observations, we can identify specific SRS configurations for positioning purpose. We discuss about SRS resource allocation, TA, TPC and beamforming, and these features are required only for positioning, but not for sounding. Rel-15 SRS has been defined for sounding and UL CSI purpose, of which configurations are differen</w:t>
      </w:r>
      <w:r w:rsidR="793BA90F">
        <w:rPr>
          <w:lang w:val="en-US"/>
        </w:rPr>
        <w:t>t</w:t>
      </w:r>
      <w:r>
        <w:rPr>
          <w:lang w:val="en-US"/>
        </w:rPr>
        <w:t xml:space="preserve">iated from positioning purpose. In conclusion, NR positioning reference signal can be designed based on Rel-15 SRS framework, but NR positioning SRS has specific purposes, configurations and TX behaviors. Therefore, </w:t>
      </w:r>
      <w:r w:rsidR="00DA731E">
        <w:rPr>
          <w:lang w:val="en-US"/>
        </w:rPr>
        <w:t>a network should be able to configure Rel-16 positioning SRS configurations separately from Rel-15 SRS configurations.</w:t>
      </w:r>
    </w:p>
    <w:p w14:paraId="2CB2CA14" w14:textId="03750E59" w:rsidR="00DA731E" w:rsidRPr="00674CA6" w:rsidRDefault="00DA731E">
      <w:pPr>
        <w:rPr>
          <w:lang w:val="en-US"/>
        </w:rPr>
      </w:pPr>
      <w:r w:rsidRPr="00674CA6">
        <w:rPr>
          <w:b/>
          <w:bCs/>
          <w:lang w:val="en-US"/>
        </w:rPr>
        <w:t>Propos</w:t>
      </w:r>
      <w:r w:rsidR="77D6EBC8" w:rsidRPr="00674CA6">
        <w:rPr>
          <w:b/>
          <w:bCs/>
          <w:lang w:val="en-US"/>
        </w:rPr>
        <w:t>al</w:t>
      </w:r>
      <w:r w:rsidRPr="00674CA6">
        <w:rPr>
          <w:b/>
          <w:bCs/>
          <w:lang w:val="en-US"/>
        </w:rPr>
        <w:t xml:space="preserve"> </w:t>
      </w:r>
      <w:r w:rsidR="00461EB5" w:rsidRPr="00674CA6">
        <w:rPr>
          <w:b/>
          <w:bCs/>
          <w:lang w:val="en-US"/>
        </w:rPr>
        <w:t>18</w:t>
      </w:r>
      <w:r w:rsidRPr="00674CA6">
        <w:rPr>
          <w:b/>
          <w:bCs/>
          <w:lang w:val="en-US"/>
        </w:rPr>
        <w:t>:</w:t>
      </w:r>
      <w:r>
        <w:rPr>
          <w:lang w:val="en-US"/>
        </w:rPr>
        <w:t xml:space="preserve"> </w:t>
      </w:r>
      <w:r w:rsidR="00177D89">
        <w:rPr>
          <w:lang w:val="en-US"/>
        </w:rPr>
        <w:t>Define</w:t>
      </w:r>
      <w:r w:rsidR="00103565">
        <w:rPr>
          <w:lang w:val="en-US"/>
        </w:rPr>
        <w:t xml:space="preserve"> a new usage of</w:t>
      </w:r>
      <w:r w:rsidR="00177D89">
        <w:rPr>
          <w:lang w:val="en-US"/>
        </w:rPr>
        <w:t xml:space="preserve"> Rel-16 SRS for positioning purpose</w:t>
      </w:r>
      <w:r w:rsidR="003B3752">
        <w:rPr>
          <w:lang w:val="en-US"/>
        </w:rPr>
        <w:t>.</w:t>
      </w:r>
      <w:r w:rsidR="00177D89">
        <w:rPr>
          <w:lang w:val="en-US"/>
        </w:rPr>
        <w:t xml:space="preserve"> </w:t>
      </w:r>
    </w:p>
    <w:p w14:paraId="59A83E0A" w14:textId="62625D2A" w:rsidR="006B4B3E" w:rsidRPr="00983109" w:rsidRDefault="003B3752" w:rsidP="00674CA6">
      <w:pPr>
        <w:pStyle w:val="ListParagraph"/>
        <w:numPr>
          <w:ilvl w:val="0"/>
          <w:numId w:val="1"/>
        </w:numPr>
      </w:pPr>
      <w:r w:rsidRPr="00674CA6">
        <w:rPr>
          <w:sz w:val="20"/>
          <w:lang w:val="en-US"/>
        </w:rPr>
        <w:t xml:space="preserve">Note: </w:t>
      </w:r>
      <w:r w:rsidR="00474617" w:rsidRPr="00674CA6">
        <w:rPr>
          <w:sz w:val="20"/>
          <w:lang w:val="en-US"/>
        </w:rPr>
        <w:t xml:space="preserve">Rel-16 </w:t>
      </w:r>
      <w:r w:rsidR="00DA731E" w:rsidRPr="00674CA6">
        <w:rPr>
          <w:sz w:val="20"/>
          <w:lang w:val="en-US"/>
        </w:rPr>
        <w:t xml:space="preserve">SRS for positioning purpose </w:t>
      </w:r>
      <w:r w:rsidR="00474617" w:rsidRPr="00674CA6">
        <w:rPr>
          <w:sz w:val="20"/>
          <w:lang w:val="en-US"/>
        </w:rPr>
        <w:t>needs to</w:t>
      </w:r>
      <w:r w:rsidR="00DA731E" w:rsidRPr="00674CA6">
        <w:rPr>
          <w:sz w:val="20"/>
          <w:lang w:val="en-US"/>
        </w:rPr>
        <w:t xml:space="preserve"> be configured separately from Rel-15 SRS configurations</w:t>
      </w:r>
      <w:r w:rsidR="00474617" w:rsidRPr="00674CA6">
        <w:rPr>
          <w:sz w:val="20"/>
          <w:lang w:val="en-US"/>
        </w:rPr>
        <w:t xml:space="preserve"> regarding time/frequency resource configuration, TA, TPC</w:t>
      </w:r>
      <w:r w:rsidR="009B3485" w:rsidRPr="00674CA6">
        <w:rPr>
          <w:sz w:val="20"/>
          <w:lang w:val="en-US"/>
        </w:rPr>
        <w:t xml:space="preserve">, </w:t>
      </w:r>
      <w:r w:rsidR="00474617" w:rsidRPr="00674CA6">
        <w:rPr>
          <w:sz w:val="20"/>
          <w:lang w:val="en-US"/>
        </w:rPr>
        <w:t xml:space="preserve">beamforming/precoding </w:t>
      </w:r>
      <w:r w:rsidR="009B3485" w:rsidRPr="00674CA6">
        <w:rPr>
          <w:sz w:val="20"/>
          <w:lang w:val="en-US"/>
        </w:rPr>
        <w:t>and so on.</w:t>
      </w:r>
    </w:p>
    <w:p w14:paraId="10445A01" w14:textId="480CC7E1" w:rsidR="00885580" w:rsidRDefault="007820D0" w:rsidP="00885580">
      <w:pPr>
        <w:pStyle w:val="Heading1"/>
      </w:pPr>
      <w:r>
        <w:t>Conclusion</w:t>
      </w:r>
    </w:p>
    <w:p w14:paraId="26322EC3" w14:textId="729D0F4A" w:rsidR="00783657" w:rsidRDefault="00783657" w:rsidP="00783657">
      <w:r w:rsidRPr="00083EF6">
        <w:rPr>
          <w:b/>
          <w:bCs/>
        </w:rPr>
        <w:t xml:space="preserve">Observation </w:t>
      </w:r>
      <w:r>
        <w:rPr>
          <w:b/>
          <w:bCs/>
        </w:rPr>
        <w:t>1</w:t>
      </w:r>
      <w:r>
        <w:t>: Some symbols in LTE were reserved for the cell reference signal (CRS), however in NR there is no such constraint.</w:t>
      </w:r>
    </w:p>
    <w:p w14:paraId="747C9852" w14:textId="77777777" w:rsidR="00783657" w:rsidRDefault="00783657" w:rsidP="00783657">
      <w:r w:rsidRPr="00451404">
        <w:rPr>
          <w:b/>
          <w:bCs/>
        </w:rPr>
        <w:t>Observation 2:</w:t>
      </w:r>
      <w:r>
        <w:t xml:space="preserve"> No reference signal work is needed in RAN1 to support Rel-15 NR RRM measurements for E-CID. </w:t>
      </w:r>
    </w:p>
    <w:p w14:paraId="3D9E7600" w14:textId="2DBFFE61" w:rsidR="00783657" w:rsidRDefault="00783657" w:rsidP="00885580">
      <w:r w:rsidRPr="00983109">
        <w:rPr>
          <w:b/>
          <w:bCs/>
        </w:rPr>
        <w:t xml:space="preserve">Observation </w:t>
      </w:r>
      <w:r w:rsidRPr="00451404">
        <w:rPr>
          <w:b/>
          <w:bCs/>
        </w:rPr>
        <w:t>3</w:t>
      </w:r>
      <w:r w:rsidRPr="00983109">
        <w:rPr>
          <w:b/>
          <w:bCs/>
        </w:rPr>
        <w:t>:</w:t>
      </w:r>
      <w:r w:rsidRPr="5B7ECE71">
        <w:t xml:space="preserve"> </w:t>
      </w:r>
      <w:r w:rsidRPr="00451404">
        <w:t>SRS comb-2 or comb-4 with staggering allocation is possible under Rel-15 spec</w:t>
      </w:r>
      <w:r>
        <w:t>.</w:t>
      </w:r>
    </w:p>
    <w:p w14:paraId="59B60C20" w14:textId="77777777" w:rsidR="00783657" w:rsidRDefault="00783657" w:rsidP="00783657">
      <w:r w:rsidRPr="00451404">
        <w:rPr>
          <w:b/>
          <w:bCs/>
        </w:rPr>
        <w:t>Observation 4:</w:t>
      </w:r>
      <w:r>
        <w:t xml:space="preserve"> TA control targeted at serving cell timing may be problematic for neighbour cells measurement. It may be desirable for that UE specific TA control targeting serving cell timing not be applied to all SRS transmission for positioning purpose.</w:t>
      </w:r>
    </w:p>
    <w:p w14:paraId="005E1CB7" w14:textId="77777777" w:rsidR="00783657" w:rsidRDefault="00783657" w:rsidP="00783657">
      <w:r w:rsidRPr="00451404">
        <w:rPr>
          <w:b/>
        </w:rPr>
        <w:t>Observation 5:</w:t>
      </w:r>
      <w:r w:rsidRPr="781ED33A">
        <w:t xml:space="preserve"> </w:t>
      </w:r>
      <w:r w:rsidRPr="1703FA0C">
        <w:t>N</w:t>
      </w:r>
      <w:r>
        <w:t>eighbour cells may experience hearability issue on SRS transmission from UEs locating close to the serving cell</w:t>
      </w:r>
      <w:r w:rsidRPr="781ED33A">
        <w:t xml:space="preserve"> </w:t>
      </w:r>
      <w:proofErr w:type="spellStart"/>
      <w:r>
        <w:t>center</w:t>
      </w:r>
      <w:proofErr w:type="spellEnd"/>
      <w:r w:rsidRPr="781ED33A">
        <w:t xml:space="preserve"> </w:t>
      </w:r>
      <w:r>
        <w:t>due to power control</w:t>
      </w:r>
      <w:r w:rsidRPr="781ED33A">
        <w:t>.</w:t>
      </w:r>
    </w:p>
    <w:p w14:paraId="398E9885" w14:textId="4D2F3668" w:rsidR="00783657" w:rsidRDefault="00783657" w:rsidP="00885580">
      <w:pPr>
        <w:rPr>
          <w:b/>
          <w:bCs/>
        </w:rPr>
      </w:pPr>
      <w:r w:rsidRPr="00451404">
        <w:rPr>
          <w:rStyle w:val="normaltextrun"/>
          <w:b/>
          <w:lang w:val="en-US" w:eastAsia="zh-CN"/>
        </w:rPr>
        <w:t>Observation 6:</w:t>
      </w:r>
      <w:r>
        <w:rPr>
          <w:rStyle w:val="normaltextrun"/>
        </w:rPr>
        <w:t xml:space="preserve"> U</w:t>
      </w:r>
      <w:r w:rsidRPr="00264E3E">
        <w:rPr>
          <w:rStyle w:val="normaltextrun"/>
        </w:rPr>
        <w:t xml:space="preserve">L beam correspondence </w:t>
      </w:r>
      <w:r>
        <w:rPr>
          <w:rStyle w:val="normaltextrun"/>
        </w:rPr>
        <w:t xml:space="preserve">relying on DL beam </w:t>
      </w:r>
      <w:r w:rsidRPr="00264E3E">
        <w:rPr>
          <w:rStyle w:val="normaltextrun"/>
        </w:rPr>
        <w:t>correspondence</w:t>
      </w:r>
      <w:r>
        <w:rPr>
          <w:rStyle w:val="normaltextrun"/>
        </w:rPr>
        <w:t xml:space="preserve"> (i.e. SSB/CSI-RS beam) cannot provide UL measurements enough at </w:t>
      </w:r>
      <w:proofErr w:type="spellStart"/>
      <w:r>
        <w:rPr>
          <w:rStyle w:val="normaltextrun"/>
        </w:rPr>
        <w:t>neighboring</w:t>
      </w:r>
      <w:proofErr w:type="spellEnd"/>
      <w:r>
        <w:rPr>
          <w:rStyle w:val="normaltextrun"/>
        </w:rPr>
        <w:t xml:space="preserve"> gNBs </w:t>
      </w:r>
      <w:r w:rsidRPr="00264E3E">
        <w:rPr>
          <w:rStyle w:val="normaltextrun"/>
        </w:rPr>
        <w:t>that want to try to receive it for UL positioning.</w:t>
      </w:r>
      <w:r>
        <w:rPr>
          <w:rStyle w:val="normaltextrun"/>
        </w:rPr>
        <w:t xml:space="preserve"> Further solutions may be needed.</w:t>
      </w:r>
    </w:p>
    <w:p w14:paraId="58EBD791" w14:textId="39885129" w:rsidR="00783657" w:rsidRDefault="00783657" w:rsidP="00885580">
      <w:r w:rsidRPr="00A04263">
        <w:rPr>
          <w:b/>
          <w:bCs/>
        </w:rPr>
        <w:t xml:space="preserve">Proposal </w:t>
      </w:r>
      <w:r>
        <w:rPr>
          <w:b/>
          <w:bCs/>
        </w:rPr>
        <w:t>1</w:t>
      </w:r>
      <w:r>
        <w:t>: At least the bandwidths and associated SCS in Table 1 should be supported for NR PRS.</w:t>
      </w:r>
    </w:p>
    <w:p w14:paraId="5653D8D0" w14:textId="36EFD8FC" w:rsidR="00783657" w:rsidRDefault="00783657" w:rsidP="00885580">
      <w:r w:rsidRPr="00C02E29">
        <w:rPr>
          <w:b/>
          <w:bCs/>
        </w:rPr>
        <w:t xml:space="preserve">Proposal </w:t>
      </w:r>
      <w:r>
        <w:rPr>
          <w:b/>
          <w:bCs/>
        </w:rPr>
        <w:t>2</w:t>
      </w:r>
      <w:r w:rsidRPr="00C02E29">
        <w:rPr>
          <w:b/>
          <w:bCs/>
        </w:rPr>
        <w:t>:</w:t>
      </w:r>
      <w:r w:rsidRPr="00C02E29">
        <w:t xml:space="preserve"> Study how to support PRS transmissions from multiple gNBs with different numerologies multiplexed in one PRS occasion for NR positioning.</w:t>
      </w:r>
    </w:p>
    <w:p w14:paraId="2A64135D" w14:textId="094E4D63" w:rsidR="00783657" w:rsidRDefault="00783657" w:rsidP="00885580">
      <w:r w:rsidRPr="00841FC5">
        <w:rPr>
          <w:b/>
          <w:bCs/>
        </w:rPr>
        <w:lastRenderedPageBreak/>
        <w:t xml:space="preserve">Proposal </w:t>
      </w:r>
      <w:r>
        <w:rPr>
          <w:b/>
          <w:bCs/>
        </w:rPr>
        <w:t>3</w:t>
      </w:r>
      <w:r>
        <w:t>: At least the following periodicities should be supported for NR PRS: {5, 10, 20, 40, 80, 160, 320, 640, 1280} slots</w:t>
      </w:r>
      <w:r w:rsidRPr="0020A800">
        <w:t xml:space="preserve">. </w:t>
      </w:r>
    </w:p>
    <w:p w14:paraId="1A100301" w14:textId="77777777" w:rsidR="00783657" w:rsidRDefault="00783657" w:rsidP="00783657">
      <w:r w:rsidRPr="00083EF6">
        <w:rPr>
          <w:b/>
          <w:bCs/>
        </w:rPr>
        <w:t xml:space="preserve">Proposal </w:t>
      </w:r>
      <w:r>
        <w:rPr>
          <w:b/>
          <w:bCs/>
        </w:rPr>
        <w:t>4</w:t>
      </w:r>
      <w:r>
        <w:t>: Support the following consecutive number of slots for NR PRS: {1,2,4,6} per beam direction</w:t>
      </w:r>
      <w:r w:rsidRPr="32182866">
        <w:t xml:space="preserve">. </w:t>
      </w:r>
    </w:p>
    <w:p w14:paraId="50678499" w14:textId="77777777" w:rsidR="00783657" w:rsidRDefault="00783657" w:rsidP="00783657">
      <w:r w:rsidRPr="00A04263">
        <w:rPr>
          <w:b/>
          <w:bCs/>
        </w:rPr>
        <w:t xml:space="preserve">Proposal </w:t>
      </w:r>
      <w:r>
        <w:rPr>
          <w:b/>
          <w:bCs/>
        </w:rPr>
        <w:t>5</w:t>
      </w:r>
      <w:r>
        <w:t>: The NR PRS uses the Gold sequence.</w:t>
      </w:r>
    </w:p>
    <w:p w14:paraId="7E89AC60" w14:textId="77777777" w:rsidR="00783657" w:rsidRDefault="00783657" w:rsidP="00783657">
      <w:r w:rsidRPr="002E3259">
        <w:rPr>
          <w:b/>
          <w:bCs/>
        </w:rPr>
        <w:t xml:space="preserve">Proposal </w:t>
      </w:r>
      <w:r>
        <w:rPr>
          <w:b/>
          <w:bCs/>
        </w:rPr>
        <w:t>6</w:t>
      </w:r>
      <w:r>
        <w:t xml:space="preserve">: NR DL-PRS supports 2 port transmission to allow for cross-polarization. </w:t>
      </w:r>
    </w:p>
    <w:p w14:paraId="6B2F81FD" w14:textId="77777777" w:rsidR="00783657" w:rsidRPr="00E1652F" w:rsidRDefault="00783657" w:rsidP="00783657">
      <w:pPr>
        <w:rPr>
          <w:lang w:val="en-US"/>
        </w:rPr>
      </w:pPr>
      <w:r w:rsidRPr="003B3752">
        <w:rPr>
          <w:b/>
          <w:bCs/>
          <w:lang w:val="en-US"/>
        </w:rPr>
        <w:t>Proposal 7</w:t>
      </w:r>
      <w:r>
        <w:rPr>
          <w:lang w:val="en-US"/>
        </w:rPr>
        <w:t xml:space="preserve">: A NR DL PRS resource set is defined as a set of one or more NR DL PRS resources assigned to the same TRP. </w:t>
      </w:r>
    </w:p>
    <w:p w14:paraId="189ABD26" w14:textId="77777777" w:rsidR="00783657" w:rsidRDefault="00783657" w:rsidP="00783657">
      <w:r w:rsidRPr="00841FC5">
        <w:rPr>
          <w:b/>
          <w:bCs/>
        </w:rPr>
        <w:t xml:space="preserve">Proposal </w:t>
      </w:r>
      <w:r>
        <w:rPr>
          <w:b/>
          <w:bCs/>
        </w:rPr>
        <w:t>8</w:t>
      </w:r>
      <w:r w:rsidRPr="7CA925C1">
        <w:t xml:space="preserve">: </w:t>
      </w:r>
      <w:r>
        <w:t>A NR DL PRS occasion is defined as a set of one or more consecutive and/or concurrent NR DL PRS resource sets.</w:t>
      </w:r>
    </w:p>
    <w:p w14:paraId="5CFF40FC" w14:textId="312C1A71" w:rsidR="00783657" w:rsidRPr="00674CA6" w:rsidRDefault="00783657" w:rsidP="00783657">
      <w:r w:rsidRPr="00841FC5">
        <w:rPr>
          <w:b/>
          <w:bCs/>
        </w:rPr>
        <w:t xml:space="preserve">Proposal </w:t>
      </w:r>
      <w:r>
        <w:rPr>
          <w:b/>
          <w:bCs/>
        </w:rPr>
        <w:t>9</w:t>
      </w:r>
      <w:r>
        <w:t>: At least the comb-6 structure for NR PRS should be supported.</w:t>
      </w:r>
    </w:p>
    <w:p w14:paraId="71B68308" w14:textId="29592C25" w:rsidR="00783657" w:rsidRDefault="00783657" w:rsidP="00783657">
      <w:r w:rsidRPr="00451404">
        <w:rPr>
          <w:b/>
          <w:bCs/>
        </w:rPr>
        <w:t xml:space="preserve">Proposal </w:t>
      </w:r>
      <w:r w:rsidRPr="003B3752">
        <w:rPr>
          <w:b/>
          <w:bCs/>
        </w:rPr>
        <w:t>10</w:t>
      </w:r>
      <w:r>
        <w:t>: It is beneficial to have a relatively flexible PRS mapping method to reduce the limitation to slot format used for PRS transmission.</w:t>
      </w:r>
    </w:p>
    <w:p w14:paraId="724685B4" w14:textId="77777777" w:rsidR="00783657" w:rsidRPr="00241E72" w:rsidRDefault="00783657" w:rsidP="00783657">
      <w:r w:rsidRPr="00451404">
        <w:rPr>
          <w:b/>
          <w:bCs/>
        </w:rPr>
        <w:t xml:space="preserve">Proposal </w:t>
      </w:r>
      <w:r w:rsidRPr="003B3752">
        <w:rPr>
          <w:b/>
          <w:bCs/>
        </w:rPr>
        <w:t>11</w:t>
      </w:r>
      <w:r w:rsidRPr="00451404">
        <w:rPr>
          <w:b/>
          <w:bCs/>
        </w:rPr>
        <w:t>:</w:t>
      </w:r>
      <w:r w:rsidRPr="5B7ECE71">
        <w:t xml:space="preserve"> </w:t>
      </w:r>
      <w:r>
        <w:t>In FR1 DL-PRS configuration is cell-specific. In FR2 UE-specific on-demand DL-PRS can complement cell-specific DL-PRS.</w:t>
      </w:r>
    </w:p>
    <w:p w14:paraId="05A133CE" w14:textId="77777777" w:rsidR="00783657" w:rsidRDefault="00783657" w:rsidP="00783657">
      <w:r w:rsidRPr="00451404">
        <w:rPr>
          <w:b/>
          <w:bCs/>
        </w:rPr>
        <w:t>Proposal 12:</w:t>
      </w:r>
      <w:r>
        <w:t xml:space="preserve"> Reference signal work and design for NR positioning support should not take E-CID into account. </w:t>
      </w:r>
    </w:p>
    <w:p w14:paraId="1BFB7DA6" w14:textId="24FB665C" w:rsidR="00783657" w:rsidRDefault="00783657" w:rsidP="00885580">
      <w:pPr>
        <w:rPr>
          <w:lang w:val="en-US"/>
        </w:rPr>
      </w:pPr>
      <w:r w:rsidRPr="00451404">
        <w:rPr>
          <w:b/>
          <w:bCs/>
          <w:lang w:val="en-US"/>
        </w:rPr>
        <w:t>Proposal 13:</w:t>
      </w:r>
      <w:r>
        <w:rPr>
          <w:lang w:val="en-US"/>
        </w:rPr>
        <w:t xml:space="preserve"> The decision on the specific measurements that are used for E-CID in Rel-16 should be left to RAN2.</w:t>
      </w:r>
    </w:p>
    <w:p w14:paraId="757EFF51" w14:textId="77777777" w:rsidR="00783657" w:rsidRPr="00A04263" w:rsidRDefault="00783657" w:rsidP="00783657">
      <w:pPr>
        <w:spacing w:line="259" w:lineRule="auto"/>
      </w:pPr>
      <w:r w:rsidRPr="00451404">
        <w:rPr>
          <w:b/>
          <w:bCs/>
        </w:rPr>
        <w:t xml:space="preserve">Proposal </w:t>
      </w:r>
      <w:r>
        <w:rPr>
          <w:b/>
          <w:bCs/>
        </w:rPr>
        <w:t>14</w:t>
      </w:r>
      <w:r w:rsidRPr="00451404">
        <w:rPr>
          <w:b/>
          <w:bCs/>
        </w:rPr>
        <w:t xml:space="preserve">: </w:t>
      </w:r>
      <w:r w:rsidRPr="00451404">
        <w:t>The baseline SRS for UL positioning is NR SRS comb-2 or comb-4 with staggering allocation with adopting Rel-15 NR SRS configurations.</w:t>
      </w:r>
    </w:p>
    <w:p w14:paraId="5B929995" w14:textId="7DC607B9" w:rsidR="00783657" w:rsidRDefault="00783657" w:rsidP="00783657">
      <w:r w:rsidRPr="00451404">
        <w:rPr>
          <w:b/>
          <w:bCs/>
        </w:rPr>
        <w:t xml:space="preserve">Proposal </w:t>
      </w:r>
      <w:r>
        <w:rPr>
          <w:b/>
          <w:bCs/>
        </w:rPr>
        <w:t>15</w:t>
      </w:r>
      <w:r w:rsidRPr="00451404">
        <w:rPr>
          <w:b/>
          <w:bCs/>
        </w:rPr>
        <w:t>:</w:t>
      </w:r>
      <w:r w:rsidRPr="00451404">
        <w:t xml:space="preserve"> Consider comb-N SRS structure additionally for UL positioning with cases N&gt;4 (i.e. N=6), which requires Rel-15 SRS specification changes.</w:t>
      </w:r>
    </w:p>
    <w:p w14:paraId="31234CCD" w14:textId="4A2EFBF1" w:rsidR="00783657" w:rsidRDefault="00783657" w:rsidP="00783657">
      <w:r w:rsidRPr="00451404">
        <w:rPr>
          <w:b/>
          <w:bCs/>
        </w:rPr>
        <w:t>Proposal 16:</w:t>
      </w:r>
      <w:r w:rsidRPr="5B7ECE71">
        <w:t xml:space="preserve"> </w:t>
      </w:r>
      <w:r>
        <w:t>Study TA control methods for SRS reception of neighbouring cells such as cell specific TA control or further enhancements</w:t>
      </w:r>
      <w:r w:rsidRPr="5B7ECE71">
        <w:t>.</w:t>
      </w:r>
    </w:p>
    <w:p w14:paraId="07841A41" w14:textId="018A8120" w:rsidR="00783657" w:rsidRPr="00674CA6" w:rsidRDefault="00783657" w:rsidP="00783657">
      <w:r w:rsidRPr="00451404">
        <w:rPr>
          <w:b/>
        </w:rPr>
        <w:t>Proposal 17:</w:t>
      </w:r>
      <w:r>
        <w:t xml:space="preserve"> Study further transmission power control methods for UEs nearby to their serving cell, to improve hearability of neighbouring cells</w:t>
      </w:r>
      <w:r w:rsidRPr="207C5373">
        <w:t>.</w:t>
      </w:r>
    </w:p>
    <w:p w14:paraId="17093516" w14:textId="77777777" w:rsidR="00783657" w:rsidRPr="00451404" w:rsidRDefault="00783657" w:rsidP="00783657">
      <w:pPr>
        <w:rPr>
          <w:lang w:val="en-US"/>
        </w:rPr>
      </w:pPr>
      <w:r w:rsidRPr="00451404">
        <w:rPr>
          <w:b/>
          <w:bCs/>
          <w:lang w:val="en-US"/>
        </w:rPr>
        <w:t>Proposal 18:</w:t>
      </w:r>
      <w:r>
        <w:rPr>
          <w:lang w:val="en-US"/>
        </w:rPr>
        <w:t xml:space="preserve"> Define a new usage of Rel-16 SRS for positioning purpose. </w:t>
      </w:r>
    </w:p>
    <w:p w14:paraId="53CD9119" w14:textId="77777777" w:rsidR="00885580" w:rsidRPr="00ED1327" w:rsidRDefault="00885580" w:rsidP="00885580">
      <w:pPr>
        <w:pStyle w:val="Heading1"/>
        <w:numPr>
          <w:ilvl w:val="0"/>
          <w:numId w:val="0"/>
        </w:numPr>
      </w:pPr>
      <w:r>
        <w:t>References</w:t>
      </w:r>
    </w:p>
    <w:p w14:paraId="021C7B3D" w14:textId="77777777" w:rsidR="000659FD" w:rsidRPr="00674CA6" w:rsidRDefault="000659FD">
      <w:pPr>
        <w:pStyle w:val="ListParagraph"/>
        <w:numPr>
          <w:ilvl w:val="0"/>
          <w:numId w:val="13"/>
        </w:numPr>
        <w:rPr>
          <w:sz w:val="20"/>
          <w:szCs w:val="20"/>
          <w:lang w:val="en-US"/>
        </w:rPr>
      </w:pPr>
      <w:r w:rsidRPr="00A04263">
        <w:rPr>
          <w:sz w:val="20"/>
          <w:szCs w:val="20"/>
          <w:lang w:val="en-US"/>
        </w:rPr>
        <w:t xml:space="preserve">RP-190723, “New WID: NR Positioning Support”, Intel Corporation, Ericsson, RAN#83, Shenzhen, China, March 18-21, 2019. </w:t>
      </w:r>
    </w:p>
    <w:p w14:paraId="36B45763" w14:textId="09897B5F" w:rsidR="00AD372F" w:rsidRPr="00674CA6" w:rsidRDefault="00AD372F">
      <w:pPr>
        <w:pStyle w:val="ListParagraph"/>
        <w:numPr>
          <w:ilvl w:val="0"/>
          <w:numId w:val="13"/>
        </w:numPr>
        <w:rPr>
          <w:sz w:val="20"/>
          <w:szCs w:val="20"/>
          <w:lang w:val="en-US"/>
        </w:rPr>
      </w:pPr>
      <w:bookmarkStart w:id="3" w:name="_Hlk4508146"/>
      <w:r w:rsidRPr="002E3259">
        <w:rPr>
          <w:sz w:val="20"/>
          <w:szCs w:val="20"/>
          <w:lang w:val="en-US"/>
        </w:rPr>
        <w:t>R1-</w:t>
      </w:r>
      <w:r w:rsidR="00D45094" w:rsidRPr="00674CA6">
        <w:rPr>
          <w:sz w:val="20"/>
          <w:szCs w:val="20"/>
          <w:lang w:val="en-US"/>
        </w:rPr>
        <w:t>1905263</w:t>
      </w:r>
      <w:r w:rsidRPr="002E3259">
        <w:rPr>
          <w:sz w:val="20"/>
          <w:szCs w:val="20"/>
          <w:lang w:val="en-US"/>
        </w:rPr>
        <w:t xml:space="preserve">, “Measurements for NR Positioning”, Nokia, Nokia Shanghai Bell, RAN1#96-bis, Xi’an, China. </w:t>
      </w:r>
    </w:p>
    <w:p w14:paraId="3F89373F" w14:textId="32DD5C9D" w:rsidR="00AD372F" w:rsidRPr="00674CA6" w:rsidRDefault="00AD372F">
      <w:pPr>
        <w:pStyle w:val="ListParagraph"/>
        <w:numPr>
          <w:ilvl w:val="0"/>
          <w:numId w:val="13"/>
        </w:numPr>
        <w:rPr>
          <w:sz w:val="20"/>
          <w:szCs w:val="20"/>
          <w:lang w:val="en-US"/>
        </w:rPr>
      </w:pPr>
      <w:r w:rsidRPr="002E3259">
        <w:rPr>
          <w:sz w:val="20"/>
          <w:szCs w:val="20"/>
          <w:lang w:val="en-US"/>
        </w:rPr>
        <w:t>R1-</w:t>
      </w:r>
      <w:r w:rsidR="00D45094" w:rsidRPr="00674CA6">
        <w:rPr>
          <w:sz w:val="20"/>
          <w:szCs w:val="20"/>
          <w:lang w:val="en-US"/>
        </w:rPr>
        <w:t>1905264</w:t>
      </w:r>
      <w:r w:rsidRPr="002E3259">
        <w:rPr>
          <w:sz w:val="20"/>
          <w:szCs w:val="20"/>
          <w:lang w:val="en-US"/>
        </w:rPr>
        <w:t xml:space="preserve">, “Views on physical layer procedures for NR Positioning”, Nokia, Nokia Shanghai Bell, RAN1#96-bis, Xi’an, China. </w:t>
      </w:r>
    </w:p>
    <w:p w14:paraId="64EC80E1" w14:textId="7136B771" w:rsidR="009B3B09" w:rsidRPr="00674CA6" w:rsidRDefault="000659FD">
      <w:pPr>
        <w:pStyle w:val="ListParagraph"/>
        <w:numPr>
          <w:ilvl w:val="0"/>
          <w:numId w:val="13"/>
        </w:numPr>
        <w:rPr>
          <w:sz w:val="20"/>
          <w:szCs w:val="20"/>
          <w:lang w:val="en-US"/>
        </w:rPr>
      </w:pPr>
      <w:r w:rsidRPr="00A04263">
        <w:rPr>
          <w:sz w:val="20"/>
          <w:szCs w:val="20"/>
          <w:lang w:val="en-US"/>
        </w:rPr>
        <w:t xml:space="preserve">TR 38.855, Study on NR Positioning Support </w:t>
      </w:r>
      <w:r w:rsidR="009B3B09" w:rsidRPr="00A04263">
        <w:rPr>
          <w:sz w:val="20"/>
          <w:szCs w:val="20"/>
          <w:lang w:val="en-US"/>
        </w:rPr>
        <w:t xml:space="preserve"> </w:t>
      </w:r>
    </w:p>
    <w:p w14:paraId="52574135" w14:textId="5B286408" w:rsidR="009B3B09" w:rsidRPr="00674CA6" w:rsidRDefault="009B3B09">
      <w:pPr>
        <w:pStyle w:val="ListParagraph"/>
        <w:numPr>
          <w:ilvl w:val="0"/>
          <w:numId w:val="13"/>
        </w:numPr>
        <w:rPr>
          <w:sz w:val="20"/>
          <w:szCs w:val="20"/>
          <w:lang w:val="en-US"/>
        </w:rPr>
      </w:pPr>
      <w:r w:rsidRPr="002E3259">
        <w:rPr>
          <w:sz w:val="20"/>
          <w:szCs w:val="20"/>
          <w:lang w:val="en-US"/>
        </w:rPr>
        <w:t>R1-1901024, “Potenti</w:t>
      </w:r>
      <w:r w:rsidR="00A71812" w:rsidRPr="002E3259">
        <w:rPr>
          <w:sz w:val="20"/>
          <w:szCs w:val="20"/>
          <w:lang w:val="en-US"/>
        </w:rPr>
        <w:t>a</w:t>
      </w:r>
      <w:r w:rsidRPr="002E3259">
        <w:rPr>
          <w:sz w:val="20"/>
          <w:szCs w:val="20"/>
          <w:lang w:val="en-US"/>
        </w:rPr>
        <w:t xml:space="preserve">l </w:t>
      </w:r>
      <w:r w:rsidRPr="000659FD">
        <w:rPr>
          <w:sz w:val="20"/>
          <w:szCs w:val="20"/>
          <w:lang w:val="en-US"/>
        </w:rPr>
        <w:t>Positio</w:t>
      </w:r>
      <w:r w:rsidR="7609B8DD" w:rsidRPr="000659FD">
        <w:rPr>
          <w:sz w:val="20"/>
          <w:szCs w:val="20"/>
          <w:lang w:val="en-US"/>
        </w:rPr>
        <w:t>n</w:t>
      </w:r>
      <w:r w:rsidRPr="000659FD">
        <w:rPr>
          <w:sz w:val="20"/>
          <w:szCs w:val="20"/>
          <w:lang w:val="en-US"/>
        </w:rPr>
        <w:t>ing Techniques – DL+UL based solutions”, Nokia, Nokia Shanghai Bell, RAN1#AH-1901, Taipei, Taiwan.</w:t>
      </w:r>
    </w:p>
    <w:bookmarkEnd w:id="3"/>
    <w:p w14:paraId="336FD456" w14:textId="07886B1B" w:rsidR="7E80524B" w:rsidRPr="00674CA6" w:rsidRDefault="3464471D">
      <w:pPr>
        <w:pStyle w:val="ListParagraph"/>
        <w:numPr>
          <w:ilvl w:val="0"/>
          <w:numId w:val="13"/>
        </w:numPr>
        <w:rPr>
          <w:sz w:val="20"/>
          <w:szCs w:val="20"/>
          <w:lang w:val="en-US"/>
        </w:rPr>
      </w:pPr>
      <w:r w:rsidRPr="00674CA6">
        <w:rPr>
          <w:sz w:val="20"/>
          <w:szCs w:val="20"/>
          <w:lang w:val="en-US"/>
        </w:rPr>
        <w:t>R1-</w:t>
      </w:r>
      <w:r w:rsidR="740CD04C" w:rsidRPr="00674CA6">
        <w:rPr>
          <w:sz w:val="20"/>
          <w:szCs w:val="20"/>
          <w:lang w:val="en-US"/>
        </w:rPr>
        <w:t>1905265</w:t>
      </w:r>
      <w:r w:rsidRPr="00674CA6">
        <w:rPr>
          <w:sz w:val="20"/>
          <w:szCs w:val="20"/>
          <w:lang w:val="en-US"/>
        </w:rPr>
        <w:t>, “Measurements for PRS on-demand”, Nokia, Nokia Shanghai Bell, RAN1#96-bis, Xi’an, China.</w:t>
      </w:r>
    </w:p>
    <w:p w14:paraId="17819E96" w14:textId="76E70D3D" w:rsidR="009A690E" w:rsidRPr="00674CA6" w:rsidRDefault="009A690E" w:rsidP="00674CA6">
      <w:pPr>
        <w:pStyle w:val="ListParagraph"/>
        <w:numPr>
          <w:ilvl w:val="0"/>
          <w:numId w:val="13"/>
        </w:numPr>
        <w:rPr>
          <w:sz w:val="20"/>
          <w:szCs w:val="20"/>
          <w:lang w:val="en-US"/>
        </w:rPr>
      </w:pPr>
      <w:r w:rsidRPr="00674CA6">
        <w:rPr>
          <w:sz w:val="20"/>
          <w:szCs w:val="20"/>
          <w:lang w:val="en-US"/>
        </w:rPr>
        <w:t xml:space="preserve">R1-1901848, </w:t>
      </w:r>
      <w:proofErr w:type="gramStart"/>
      <w:r>
        <w:rPr>
          <w:sz w:val="20"/>
          <w:szCs w:val="20"/>
          <w:lang w:val="en-US"/>
        </w:rPr>
        <w:t>“</w:t>
      </w:r>
      <w:r w:rsidRPr="00674CA6">
        <w:rPr>
          <w:sz w:val="20"/>
          <w:szCs w:val="20"/>
          <w:lang w:val="en-US"/>
        </w:rPr>
        <w:t xml:space="preserve"> Potential</w:t>
      </w:r>
      <w:proofErr w:type="gramEnd"/>
      <w:r w:rsidRPr="00674CA6">
        <w:rPr>
          <w:sz w:val="20"/>
          <w:szCs w:val="20"/>
          <w:lang w:val="en-US"/>
        </w:rPr>
        <w:t xml:space="preserve"> Positioning Techniques - UL based solutions,” </w:t>
      </w:r>
      <w:r w:rsidRPr="009A690E">
        <w:rPr>
          <w:sz w:val="20"/>
          <w:szCs w:val="20"/>
          <w:lang w:val="en-US"/>
        </w:rPr>
        <w:t xml:space="preserve">Nokia, Nokia Shanghai Bell, </w:t>
      </w:r>
      <w:r w:rsidRPr="00674CA6">
        <w:rPr>
          <w:sz w:val="20"/>
          <w:szCs w:val="20"/>
          <w:lang w:val="en-US"/>
        </w:rPr>
        <w:t>RAN1#96 Athens, Greece</w:t>
      </w:r>
    </w:p>
    <w:p w14:paraId="4227E94F" w14:textId="77777777" w:rsidR="3464471D" w:rsidRPr="00674CA6" w:rsidRDefault="3464471D">
      <w:pPr>
        <w:rPr>
          <w:lang w:val="en-US"/>
        </w:rPr>
      </w:pPr>
    </w:p>
    <w:p w14:paraId="7FF5F37B" w14:textId="77777777" w:rsidR="00961EE9" w:rsidRDefault="00961EE9" w:rsidP="00D37A1A"/>
    <w:sectPr w:rsidR="00961EE9" w:rsidSect="0098310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A2B44" w14:textId="77777777" w:rsidR="00523B2C" w:rsidRDefault="00523B2C">
      <w:r>
        <w:separator/>
      </w:r>
    </w:p>
  </w:endnote>
  <w:endnote w:type="continuationSeparator" w:id="0">
    <w:p w14:paraId="4C941ABE" w14:textId="77777777" w:rsidR="00523B2C" w:rsidRDefault="00523B2C">
      <w:r>
        <w:continuationSeparator/>
      </w:r>
    </w:p>
  </w:endnote>
  <w:endnote w:type="continuationNotice" w:id="1">
    <w:p w14:paraId="7AD3ED10" w14:textId="77777777" w:rsidR="00523B2C" w:rsidRDefault="00523B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94911" w14:textId="77777777" w:rsidR="00523B2C" w:rsidRDefault="00523B2C">
      <w:r>
        <w:separator/>
      </w:r>
    </w:p>
  </w:footnote>
  <w:footnote w:type="continuationSeparator" w:id="0">
    <w:p w14:paraId="0FDA1E3B" w14:textId="77777777" w:rsidR="00523B2C" w:rsidRDefault="00523B2C">
      <w:r>
        <w:continuationSeparator/>
      </w:r>
    </w:p>
  </w:footnote>
  <w:footnote w:type="continuationNotice" w:id="1">
    <w:p w14:paraId="049DE183" w14:textId="77777777" w:rsidR="00523B2C" w:rsidRDefault="00523B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F060B1"/>
    <w:multiLevelType w:val="hybridMultilevel"/>
    <w:tmpl w:val="AF0E3492"/>
    <w:lvl w:ilvl="0" w:tplc="23085E7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4A0002"/>
    <w:multiLevelType w:val="hybridMultilevel"/>
    <w:tmpl w:val="DD3E3D00"/>
    <w:lvl w:ilvl="0" w:tplc="6E5C4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28550151"/>
    <w:multiLevelType w:val="hybridMultilevel"/>
    <w:tmpl w:val="6D8C2DE6"/>
    <w:lvl w:ilvl="0" w:tplc="3EFE2910">
      <w:start w:val="1"/>
      <w:numFmt w:val="bullet"/>
      <w:lvlText w:val="•"/>
      <w:lvlJc w:val="left"/>
      <w:pPr>
        <w:tabs>
          <w:tab w:val="num" w:pos="720"/>
        </w:tabs>
        <w:ind w:left="720" w:hanging="360"/>
      </w:pPr>
      <w:rPr>
        <w:rFonts w:ascii="Arial" w:hAnsi="Arial" w:hint="default"/>
      </w:rPr>
    </w:lvl>
    <w:lvl w:ilvl="1" w:tplc="B0E6F9B4" w:tentative="1">
      <w:start w:val="1"/>
      <w:numFmt w:val="bullet"/>
      <w:lvlText w:val="•"/>
      <w:lvlJc w:val="left"/>
      <w:pPr>
        <w:tabs>
          <w:tab w:val="num" w:pos="1440"/>
        </w:tabs>
        <w:ind w:left="1440" w:hanging="360"/>
      </w:pPr>
      <w:rPr>
        <w:rFonts w:ascii="Arial" w:hAnsi="Arial" w:hint="default"/>
      </w:rPr>
    </w:lvl>
    <w:lvl w:ilvl="2" w:tplc="15F26868" w:tentative="1">
      <w:start w:val="1"/>
      <w:numFmt w:val="bullet"/>
      <w:lvlText w:val="•"/>
      <w:lvlJc w:val="left"/>
      <w:pPr>
        <w:tabs>
          <w:tab w:val="num" w:pos="2160"/>
        </w:tabs>
        <w:ind w:left="2160" w:hanging="360"/>
      </w:pPr>
      <w:rPr>
        <w:rFonts w:ascii="Arial" w:hAnsi="Arial" w:hint="default"/>
      </w:rPr>
    </w:lvl>
    <w:lvl w:ilvl="3" w:tplc="CAFA5506" w:tentative="1">
      <w:start w:val="1"/>
      <w:numFmt w:val="bullet"/>
      <w:lvlText w:val="•"/>
      <w:lvlJc w:val="left"/>
      <w:pPr>
        <w:tabs>
          <w:tab w:val="num" w:pos="2880"/>
        </w:tabs>
        <w:ind w:left="2880" w:hanging="360"/>
      </w:pPr>
      <w:rPr>
        <w:rFonts w:ascii="Arial" w:hAnsi="Arial" w:hint="default"/>
      </w:rPr>
    </w:lvl>
    <w:lvl w:ilvl="4" w:tplc="58B6D048" w:tentative="1">
      <w:start w:val="1"/>
      <w:numFmt w:val="bullet"/>
      <w:lvlText w:val="•"/>
      <w:lvlJc w:val="left"/>
      <w:pPr>
        <w:tabs>
          <w:tab w:val="num" w:pos="3600"/>
        </w:tabs>
        <w:ind w:left="3600" w:hanging="360"/>
      </w:pPr>
      <w:rPr>
        <w:rFonts w:ascii="Arial" w:hAnsi="Arial" w:hint="default"/>
      </w:rPr>
    </w:lvl>
    <w:lvl w:ilvl="5" w:tplc="D0F8789E" w:tentative="1">
      <w:start w:val="1"/>
      <w:numFmt w:val="bullet"/>
      <w:lvlText w:val="•"/>
      <w:lvlJc w:val="left"/>
      <w:pPr>
        <w:tabs>
          <w:tab w:val="num" w:pos="4320"/>
        </w:tabs>
        <w:ind w:left="4320" w:hanging="360"/>
      </w:pPr>
      <w:rPr>
        <w:rFonts w:ascii="Arial" w:hAnsi="Arial" w:hint="default"/>
      </w:rPr>
    </w:lvl>
    <w:lvl w:ilvl="6" w:tplc="A1D60B70" w:tentative="1">
      <w:start w:val="1"/>
      <w:numFmt w:val="bullet"/>
      <w:lvlText w:val="•"/>
      <w:lvlJc w:val="left"/>
      <w:pPr>
        <w:tabs>
          <w:tab w:val="num" w:pos="5040"/>
        </w:tabs>
        <w:ind w:left="5040" w:hanging="360"/>
      </w:pPr>
      <w:rPr>
        <w:rFonts w:ascii="Arial" w:hAnsi="Arial" w:hint="default"/>
      </w:rPr>
    </w:lvl>
    <w:lvl w:ilvl="7" w:tplc="32C88506" w:tentative="1">
      <w:start w:val="1"/>
      <w:numFmt w:val="bullet"/>
      <w:lvlText w:val="•"/>
      <w:lvlJc w:val="left"/>
      <w:pPr>
        <w:tabs>
          <w:tab w:val="num" w:pos="5760"/>
        </w:tabs>
        <w:ind w:left="5760" w:hanging="360"/>
      </w:pPr>
      <w:rPr>
        <w:rFonts w:ascii="Arial" w:hAnsi="Arial" w:hint="default"/>
      </w:rPr>
    </w:lvl>
    <w:lvl w:ilvl="8" w:tplc="BF0A7B3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7" w15:restartNumberingAfterBreak="0">
    <w:nsid w:val="75202C22"/>
    <w:multiLevelType w:val="hybridMultilevel"/>
    <w:tmpl w:val="C48A6F06"/>
    <w:lvl w:ilvl="0" w:tplc="A8C62C34">
      <w:start w:val="1"/>
      <w:numFmt w:val="bullet"/>
      <w:lvlText w:val=""/>
      <w:lvlJc w:val="left"/>
      <w:pPr>
        <w:ind w:left="720" w:hanging="360"/>
      </w:pPr>
      <w:rPr>
        <w:rFonts w:ascii="Symbol" w:hAnsi="Symbol" w:hint="default"/>
      </w:rPr>
    </w:lvl>
    <w:lvl w:ilvl="1" w:tplc="12128C36">
      <w:start w:val="1"/>
      <w:numFmt w:val="bullet"/>
      <w:lvlText w:val="o"/>
      <w:lvlJc w:val="left"/>
      <w:pPr>
        <w:ind w:left="1440" w:hanging="360"/>
      </w:pPr>
      <w:rPr>
        <w:rFonts w:ascii="Courier New" w:hAnsi="Courier New" w:hint="default"/>
      </w:rPr>
    </w:lvl>
    <w:lvl w:ilvl="2" w:tplc="6742DEE4">
      <w:start w:val="1"/>
      <w:numFmt w:val="bullet"/>
      <w:lvlText w:val=""/>
      <w:lvlJc w:val="left"/>
      <w:pPr>
        <w:ind w:left="2160" w:hanging="360"/>
      </w:pPr>
      <w:rPr>
        <w:rFonts w:ascii="Wingdings" w:hAnsi="Wingdings" w:hint="default"/>
      </w:rPr>
    </w:lvl>
    <w:lvl w:ilvl="3" w:tplc="61402A1A">
      <w:start w:val="1"/>
      <w:numFmt w:val="bullet"/>
      <w:lvlText w:val=""/>
      <w:lvlJc w:val="left"/>
      <w:pPr>
        <w:ind w:left="2880" w:hanging="360"/>
      </w:pPr>
      <w:rPr>
        <w:rFonts w:ascii="Symbol" w:hAnsi="Symbol" w:hint="default"/>
      </w:rPr>
    </w:lvl>
    <w:lvl w:ilvl="4" w:tplc="90B64096">
      <w:start w:val="1"/>
      <w:numFmt w:val="bullet"/>
      <w:lvlText w:val="o"/>
      <w:lvlJc w:val="left"/>
      <w:pPr>
        <w:ind w:left="3600" w:hanging="360"/>
      </w:pPr>
      <w:rPr>
        <w:rFonts w:ascii="Courier New" w:hAnsi="Courier New" w:hint="default"/>
      </w:rPr>
    </w:lvl>
    <w:lvl w:ilvl="5" w:tplc="1CD8CD64">
      <w:start w:val="1"/>
      <w:numFmt w:val="bullet"/>
      <w:lvlText w:val=""/>
      <w:lvlJc w:val="left"/>
      <w:pPr>
        <w:ind w:left="4320" w:hanging="360"/>
      </w:pPr>
      <w:rPr>
        <w:rFonts w:ascii="Wingdings" w:hAnsi="Wingdings" w:hint="default"/>
      </w:rPr>
    </w:lvl>
    <w:lvl w:ilvl="6" w:tplc="04929E42">
      <w:start w:val="1"/>
      <w:numFmt w:val="bullet"/>
      <w:lvlText w:val=""/>
      <w:lvlJc w:val="left"/>
      <w:pPr>
        <w:ind w:left="5040" w:hanging="360"/>
      </w:pPr>
      <w:rPr>
        <w:rFonts w:ascii="Symbol" w:hAnsi="Symbol" w:hint="default"/>
      </w:rPr>
    </w:lvl>
    <w:lvl w:ilvl="7" w:tplc="DC380EF6">
      <w:start w:val="1"/>
      <w:numFmt w:val="bullet"/>
      <w:lvlText w:val="o"/>
      <w:lvlJc w:val="left"/>
      <w:pPr>
        <w:ind w:left="5760" w:hanging="360"/>
      </w:pPr>
      <w:rPr>
        <w:rFonts w:ascii="Courier New" w:hAnsi="Courier New" w:hint="default"/>
      </w:rPr>
    </w:lvl>
    <w:lvl w:ilvl="8" w:tplc="58E0EFCA">
      <w:start w:val="1"/>
      <w:numFmt w:val="bullet"/>
      <w:lvlText w:val=""/>
      <w:lvlJc w:val="left"/>
      <w:pPr>
        <w:ind w:left="6480" w:hanging="360"/>
      </w:pPr>
      <w:rPr>
        <w:rFonts w:ascii="Wingdings" w:hAnsi="Wingdings" w:hint="default"/>
      </w:rPr>
    </w:lvl>
  </w:abstractNum>
  <w:abstractNum w:abstractNumId="18" w15:restartNumberingAfterBreak="0">
    <w:nsid w:val="769C0F51"/>
    <w:multiLevelType w:val="hybridMultilevel"/>
    <w:tmpl w:val="A30A3EDA"/>
    <w:lvl w:ilvl="0" w:tplc="36D03820">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6"/>
  </w:num>
  <w:num w:numId="3">
    <w:abstractNumId w:val="15"/>
  </w:num>
  <w:num w:numId="4">
    <w:abstractNumId w:val="0"/>
  </w:num>
  <w:num w:numId="5">
    <w:abstractNumId w:val="2"/>
  </w:num>
  <w:num w:numId="6">
    <w:abstractNumId w:val="10"/>
  </w:num>
  <w:num w:numId="7">
    <w:abstractNumId w:val="16"/>
  </w:num>
  <w:num w:numId="8">
    <w:abstractNumId w:val="11"/>
  </w:num>
  <w:num w:numId="9">
    <w:abstractNumId w:val="9"/>
  </w:num>
  <w:num w:numId="10">
    <w:abstractNumId w:val="19"/>
  </w:num>
  <w:num w:numId="11">
    <w:abstractNumId w:val="4"/>
  </w:num>
  <w:num w:numId="12">
    <w:abstractNumId w:val="13"/>
  </w:num>
  <w:num w:numId="13">
    <w:abstractNumId w:val="3"/>
  </w:num>
  <w:num w:numId="14">
    <w:abstractNumId w:val="8"/>
  </w:num>
  <w:num w:numId="15">
    <w:abstractNumId w:val="14"/>
  </w:num>
  <w:num w:numId="16">
    <w:abstractNumId w:val="7"/>
  </w:num>
  <w:num w:numId="17">
    <w:abstractNumId w:val="18"/>
  </w:num>
  <w:num w:numId="18">
    <w:abstractNumId w:val="12"/>
  </w:num>
  <w:num w:numId="19">
    <w:abstractNumId w:val="5"/>
  </w:num>
  <w:num w:numId="20">
    <w:abstractNumId w:val="1"/>
  </w:num>
  <w:num w:numId="21">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74E"/>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9FD"/>
    <w:rsid w:val="00065E94"/>
    <w:rsid w:val="000701AD"/>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3EF6"/>
    <w:rsid w:val="00084A65"/>
    <w:rsid w:val="0008559A"/>
    <w:rsid w:val="00085E56"/>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8CF"/>
    <w:rsid w:val="000D29D1"/>
    <w:rsid w:val="000D2B0A"/>
    <w:rsid w:val="000D3286"/>
    <w:rsid w:val="000D344D"/>
    <w:rsid w:val="000D40E7"/>
    <w:rsid w:val="000D584F"/>
    <w:rsid w:val="000D76BC"/>
    <w:rsid w:val="000D7750"/>
    <w:rsid w:val="000E059D"/>
    <w:rsid w:val="000E071E"/>
    <w:rsid w:val="000E0DEE"/>
    <w:rsid w:val="000E181D"/>
    <w:rsid w:val="000E27AA"/>
    <w:rsid w:val="000E337A"/>
    <w:rsid w:val="000E34FD"/>
    <w:rsid w:val="000E4350"/>
    <w:rsid w:val="000E4376"/>
    <w:rsid w:val="000E4408"/>
    <w:rsid w:val="000E53AB"/>
    <w:rsid w:val="000E5716"/>
    <w:rsid w:val="000E7A79"/>
    <w:rsid w:val="000F15B2"/>
    <w:rsid w:val="000F19DE"/>
    <w:rsid w:val="000F2E1F"/>
    <w:rsid w:val="000F37B0"/>
    <w:rsid w:val="000F4595"/>
    <w:rsid w:val="000F4B05"/>
    <w:rsid w:val="000F4CB2"/>
    <w:rsid w:val="000F4E44"/>
    <w:rsid w:val="000F4E90"/>
    <w:rsid w:val="000F568D"/>
    <w:rsid w:val="000F68D0"/>
    <w:rsid w:val="000F6B15"/>
    <w:rsid w:val="000F73FD"/>
    <w:rsid w:val="0010170B"/>
    <w:rsid w:val="00101C4F"/>
    <w:rsid w:val="00102C9F"/>
    <w:rsid w:val="00103565"/>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54B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7C9"/>
    <w:rsid w:val="0016381F"/>
    <w:rsid w:val="00163D1D"/>
    <w:rsid w:val="00164171"/>
    <w:rsid w:val="00164E58"/>
    <w:rsid w:val="00165033"/>
    <w:rsid w:val="001665EB"/>
    <w:rsid w:val="001670EA"/>
    <w:rsid w:val="001674A0"/>
    <w:rsid w:val="001707EC"/>
    <w:rsid w:val="00170A50"/>
    <w:rsid w:val="00174FFD"/>
    <w:rsid w:val="001759CA"/>
    <w:rsid w:val="0017726A"/>
    <w:rsid w:val="00177D89"/>
    <w:rsid w:val="00177DD3"/>
    <w:rsid w:val="00180278"/>
    <w:rsid w:val="001807F2"/>
    <w:rsid w:val="001818A7"/>
    <w:rsid w:val="00182725"/>
    <w:rsid w:val="001829C8"/>
    <w:rsid w:val="00185152"/>
    <w:rsid w:val="00186904"/>
    <w:rsid w:val="00186B0A"/>
    <w:rsid w:val="001905BD"/>
    <w:rsid w:val="00192FE6"/>
    <w:rsid w:val="0019360B"/>
    <w:rsid w:val="00193986"/>
    <w:rsid w:val="00193B08"/>
    <w:rsid w:val="00194570"/>
    <w:rsid w:val="00196BF4"/>
    <w:rsid w:val="001972DA"/>
    <w:rsid w:val="001976AA"/>
    <w:rsid w:val="001A02F6"/>
    <w:rsid w:val="001A0606"/>
    <w:rsid w:val="001A15C6"/>
    <w:rsid w:val="001A16B5"/>
    <w:rsid w:val="001A5510"/>
    <w:rsid w:val="001A5C7B"/>
    <w:rsid w:val="001A5E19"/>
    <w:rsid w:val="001A63D8"/>
    <w:rsid w:val="001A70A7"/>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4E24"/>
    <w:rsid w:val="001D50C2"/>
    <w:rsid w:val="001D753C"/>
    <w:rsid w:val="001D7CA4"/>
    <w:rsid w:val="001D7DC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1E72"/>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712"/>
    <w:rsid w:val="00262D9D"/>
    <w:rsid w:val="002632DF"/>
    <w:rsid w:val="00263946"/>
    <w:rsid w:val="002640BA"/>
    <w:rsid w:val="00264CF2"/>
    <w:rsid w:val="00264E3E"/>
    <w:rsid w:val="00265B6B"/>
    <w:rsid w:val="002667A8"/>
    <w:rsid w:val="00267587"/>
    <w:rsid w:val="002675C8"/>
    <w:rsid w:val="00267760"/>
    <w:rsid w:val="00270B1A"/>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B4FA7"/>
    <w:rsid w:val="002C0C4B"/>
    <w:rsid w:val="002C1EEA"/>
    <w:rsid w:val="002C47AD"/>
    <w:rsid w:val="002C5510"/>
    <w:rsid w:val="002C6034"/>
    <w:rsid w:val="002C635B"/>
    <w:rsid w:val="002C7276"/>
    <w:rsid w:val="002C770F"/>
    <w:rsid w:val="002C7CFF"/>
    <w:rsid w:val="002D0BC6"/>
    <w:rsid w:val="002D12DB"/>
    <w:rsid w:val="002D17C5"/>
    <w:rsid w:val="002D277F"/>
    <w:rsid w:val="002D365F"/>
    <w:rsid w:val="002D51DF"/>
    <w:rsid w:val="002D6892"/>
    <w:rsid w:val="002D68C2"/>
    <w:rsid w:val="002D7C86"/>
    <w:rsid w:val="002E0692"/>
    <w:rsid w:val="002E1D74"/>
    <w:rsid w:val="002E2943"/>
    <w:rsid w:val="002E2CF1"/>
    <w:rsid w:val="002E3259"/>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2FD911"/>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57D01"/>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630F"/>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190E"/>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752"/>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4C8"/>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0E6"/>
    <w:rsid w:val="004545C6"/>
    <w:rsid w:val="00454DCA"/>
    <w:rsid w:val="00454E26"/>
    <w:rsid w:val="00456544"/>
    <w:rsid w:val="00456649"/>
    <w:rsid w:val="004567B7"/>
    <w:rsid w:val="00456856"/>
    <w:rsid w:val="004571EF"/>
    <w:rsid w:val="0046047A"/>
    <w:rsid w:val="00461210"/>
    <w:rsid w:val="00461700"/>
    <w:rsid w:val="00461AAC"/>
    <w:rsid w:val="00461EB5"/>
    <w:rsid w:val="00462490"/>
    <w:rsid w:val="00462AC9"/>
    <w:rsid w:val="00463DC3"/>
    <w:rsid w:val="00465299"/>
    <w:rsid w:val="00466A0F"/>
    <w:rsid w:val="0046795B"/>
    <w:rsid w:val="004708C0"/>
    <w:rsid w:val="0047115F"/>
    <w:rsid w:val="004715CB"/>
    <w:rsid w:val="00471863"/>
    <w:rsid w:val="00473777"/>
    <w:rsid w:val="00473A14"/>
    <w:rsid w:val="004745A9"/>
    <w:rsid w:val="00474617"/>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4D8E"/>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CF2"/>
    <w:rsid w:val="00503E1C"/>
    <w:rsid w:val="00504311"/>
    <w:rsid w:val="0050485C"/>
    <w:rsid w:val="00504AC6"/>
    <w:rsid w:val="00504D75"/>
    <w:rsid w:val="00505190"/>
    <w:rsid w:val="00505D51"/>
    <w:rsid w:val="0050739F"/>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3B2C"/>
    <w:rsid w:val="00523E75"/>
    <w:rsid w:val="005243E0"/>
    <w:rsid w:val="005256F3"/>
    <w:rsid w:val="005265A3"/>
    <w:rsid w:val="00526783"/>
    <w:rsid w:val="005268D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0CFC"/>
    <w:rsid w:val="00581470"/>
    <w:rsid w:val="00581B62"/>
    <w:rsid w:val="00581BAD"/>
    <w:rsid w:val="00582087"/>
    <w:rsid w:val="00582F21"/>
    <w:rsid w:val="005831DD"/>
    <w:rsid w:val="00584320"/>
    <w:rsid w:val="00585484"/>
    <w:rsid w:val="00585557"/>
    <w:rsid w:val="00587229"/>
    <w:rsid w:val="00587503"/>
    <w:rsid w:val="00587F7F"/>
    <w:rsid w:val="00590E8D"/>
    <w:rsid w:val="00591511"/>
    <w:rsid w:val="00591E50"/>
    <w:rsid w:val="00592CDA"/>
    <w:rsid w:val="0059331A"/>
    <w:rsid w:val="00593A72"/>
    <w:rsid w:val="00595A8C"/>
    <w:rsid w:val="00595C2C"/>
    <w:rsid w:val="00596180"/>
    <w:rsid w:val="00596BBA"/>
    <w:rsid w:val="00597386"/>
    <w:rsid w:val="005975C4"/>
    <w:rsid w:val="00597ED8"/>
    <w:rsid w:val="005A17AE"/>
    <w:rsid w:val="005A2B20"/>
    <w:rsid w:val="005A34D5"/>
    <w:rsid w:val="005A3943"/>
    <w:rsid w:val="005A4904"/>
    <w:rsid w:val="005A515A"/>
    <w:rsid w:val="005A704D"/>
    <w:rsid w:val="005B3C6D"/>
    <w:rsid w:val="005B4045"/>
    <w:rsid w:val="005B5D98"/>
    <w:rsid w:val="005B609E"/>
    <w:rsid w:val="005B6DF6"/>
    <w:rsid w:val="005B7B7D"/>
    <w:rsid w:val="005C1948"/>
    <w:rsid w:val="005C22F9"/>
    <w:rsid w:val="005C263C"/>
    <w:rsid w:val="005C2679"/>
    <w:rsid w:val="005C298C"/>
    <w:rsid w:val="005C5870"/>
    <w:rsid w:val="005D059A"/>
    <w:rsid w:val="005D07C5"/>
    <w:rsid w:val="005D21B7"/>
    <w:rsid w:val="005D2DAD"/>
    <w:rsid w:val="005D3F1A"/>
    <w:rsid w:val="005D4302"/>
    <w:rsid w:val="005D5A20"/>
    <w:rsid w:val="005D786C"/>
    <w:rsid w:val="005E00E5"/>
    <w:rsid w:val="005E0148"/>
    <w:rsid w:val="005E049F"/>
    <w:rsid w:val="005E0BB6"/>
    <w:rsid w:val="005E2D80"/>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59A"/>
    <w:rsid w:val="005F7985"/>
    <w:rsid w:val="00600CEB"/>
    <w:rsid w:val="00602298"/>
    <w:rsid w:val="00602A78"/>
    <w:rsid w:val="00602A84"/>
    <w:rsid w:val="00602AA1"/>
    <w:rsid w:val="00603123"/>
    <w:rsid w:val="0060321D"/>
    <w:rsid w:val="006036F4"/>
    <w:rsid w:val="0060412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576D"/>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374D3"/>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CA6"/>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4B3E"/>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2105"/>
    <w:rsid w:val="006E4D0C"/>
    <w:rsid w:val="006E4D1B"/>
    <w:rsid w:val="006E5B78"/>
    <w:rsid w:val="006E67BA"/>
    <w:rsid w:val="006E699D"/>
    <w:rsid w:val="006E6BA3"/>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4DFA"/>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69C4"/>
    <w:rsid w:val="00737A31"/>
    <w:rsid w:val="00742A6A"/>
    <w:rsid w:val="00742B44"/>
    <w:rsid w:val="0074656E"/>
    <w:rsid w:val="007472D5"/>
    <w:rsid w:val="00750BAC"/>
    <w:rsid w:val="00752B03"/>
    <w:rsid w:val="00753454"/>
    <w:rsid w:val="00753BB5"/>
    <w:rsid w:val="007544F1"/>
    <w:rsid w:val="00755E4A"/>
    <w:rsid w:val="00756832"/>
    <w:rsid w:val="00757F0B"/>
    <w:rsid w:val="007626D0"/>
    <w:rsid w:val="007651CA"/>
    <w:rsid w:val="00767519"/>
    <w:rsid w:val="007701CC"/>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3657"/>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AA9"/>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1FC5"/>
    <w:rsid w:val="00842E0C"/>
    <w:rsid w:val="00843A7A"/>
    <w:rsid w:val="008447F5"/>
    <w:rsid w:val="00846292"/>
    <w:rsid w:val="008506E1"/>
    <w:rsid w:val="00850D96"/>
    <w:rsid w:val="008515EE"/>
    <w:rsid w:val="00851A8E"/>
    <w:rsid w:val="00851EC7"/>
    <w:rsid w:val="008528D3"/>
    <w:rsid w:val="00852B2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25E9"/>
    <w:rsid w:val="00893DCF"/>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1A56"/>
    <w:rsid w:val="008B2257"/>
    <w:rsid w:val="008B2436"/>
    <w:rsid w:val="008B3B51"/>
    <w:rsid w:val="008B4057"/>
    <w:rsid w:val="008B4145"/>
    <w:rsid w:val="008B497C"/>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6D1"/>
    <w:rsid w:val="0095481C"/>
    <w:rsid w:val="0095526F"/>
    <w:rsid w:val="0095569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67F99"/>
    <w:rsid w:val="00971592"/>
    <w:rsid w:val="00971617"/>
    <w:rsid w:val="00971DDF"/>
    <w:rsid w:val="0097225C"/>
    <w:rsid w:val="009731D6"/>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CF9"/>
    <w:rsid w:val="00987416"/>
    <w:rsid w:val="00987FDC"/>
    <w:rsid w:val="00990C0E"/>
    <w:rsid w:val="00990D75"/>
    <w:rsid w:val="00991093"/>
    <w:rsid w:val="0099163B"/>
    <w:rsid w:val="00992343"/>
    <w:rsid w:val="009938B1"/>
    <w:rsid w:val="00996258"/>
    <w:rsid w:val="00996306"/>
    <w:rsid w:val="00996744"/>
    <w:rsid w:val="00997CF4"/>
    <w:rsid w:val="009A1169"/>
    <w:rsid w:val="009A164C"/>
    <w:rsid w:val="009A1AAC"/>
    <w:rsid w:val="009A2BB6"/>
    <w:rsid w:val="009A2CB8"/>
    <w:rsid w:val="009A3789"/>
    <w:rsid w:val="009A45A2"/>
    <w:rsid w:val="009A690E"/>
    <w:rsid w:val="009A6919"/>
    <w:rsid w:val="009A6AC7"/>
    <w:rsid w:val="009B0408"/>
    <w:rsid w:val="009B0843"/>
    <w:rsid w:val="009B0DEE"/>
    <w:rsid w:val="009B1335"/>
    <w:rsid w:val="009B176D"/>
    <w:rsid w:val="009B1E47"/>
    <w:rsid w:val="009B2CED"/>
    <w:rsid w:val="009B3054"/>
    <w:rsid w:val="009B335D"/>
    <w:rsid w:val="009B3485"/>
    <w:rsid w:val="009B3B09"/>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2C1"/>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263"/>
    <w:rsid w:val="00A04D7E"/>
    <w:rsid w:val="00A051D9"/>
    <w:rsid w:val="00A05DF3"/>
    <w:rsid w:val="00A07E08"/>
    <w:rsid w:val="00A10D79"/>
    <w:rsid w:val="00A11535"/>
    <w:rsid w:val="00A11E56"/>
    <w:rsid w:val="00A12798"/>
    <w:rsid w:val="00A13A09"/>
    <w:rsid w:val="00A14A42"/>
    <w:rsid w:val="00A14D68"/>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17C"/>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3322"/>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55FB"/>
    <w:rsid w:val="00A5765D"/>
    <w:rsid w:val="00A579BD"/>
    <w:rsid w:val="00A607CB"/>
    <w:rsid w:val="00A61B8D"/>
    <w:rsid w:val="00A6351F"/>
    <w:rsid w:val="00A63809"/>
    <w:rsid w:val="00A64278"/>
    <w:rsid w:val="00A64A6E"/>
    <w:rsid w:val="00A6519F"/>
    <w:rsid w:val="00A65A70"/>
    <w:rsid w:val="00A6665F"/>
    <w:rsid w:val="00A66F36"/>
    <w:rsid w:val="00A676D9"/>
    <w:rsid w:val="00A67B8F"/>
    <w:rsid w:val="00A67EFC"/>
    <w:rsid w:val="00A7031E"/>
    <w:rsid w:val="00A71140"/>
    <w:rsid w:val="00A71812"/>
    <w:rsid w:val="00A7205E"/>
    <w:rsid w:val="00A74692"/>
    <w:rsid w:val="00A75A52"/>
    <w:rsid w:val="00A7618B"/>
    <w:rsid w:val="00A7640B"/>
    <w:rsid w:val="00A773A8"/>
    <w:rsid w:val="00A7778B"/>
    <w:rsid w:val="00A803BC"/>
    <w:rsid w:val="00A80969"/>
    <w:rsid w:val="00A849AD"/>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CA"/>
    <w:rsid w:val="00AB709E"/>
    <w:rsid w:val="00AB7806"/>
    <w:rsid w:val="00AC02C1"/>
    <w:rsid w:val="00AC0AB6"/>
    <w:rsid w:val="00AC10AD"/>
    <w:rsid w:val="00AC1E55"/>
    <w:rsid w:val="00AC3D06"/>
    <w:rsid w:val="00AC429F"/>
    <w:rsid w:val="00AC58FC"/>
    <w:rsid w:val="00AC60B4"/>
    <w:rsid w:val="00AC67B6"/>
    <w:rsid w:val="00AC7D98"/>
    <w:rsid w:val="00AD00C5"/>
    <w:rsid w:val="00AD165F"/>
    <w:rsid w:val="00AD2794"/>
    <w:rsid w:val="00AD2DC5"/>
    <w:rsid w:val="00AD3455"/>
    <w:rsid w:val="00AD372F"/>
    <w:rsid w:val="00AD3CAD"/>
    <w:rsid w:val="00AD5A99"/>
    <w:rsid w:val="00AD69FF"/>
    <w:rsid w:val="00AD702B"/>
    <w:rsid w:val="00AD72E6"/>
    <w:rsid w:val="00AD7C95"/>
    <w:rsid w:val="00AD7FCD"/>
    <w:rsid w:val="00AE2BED"/>
    <w:rsid w:val="00AE3DE1"/>
    <w:rsid w:val="00AE5439"/>
    <w:rsid w:val="00AE61B2"/>
    <w:rsid w:val="00AE6789"/>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3897"/>
    <w:rsid w:val="00B34E63"/>
    <w:rsid w:val="00B3523D"/>
    <w:rsid w:val="00B35DA4"/>
    <w:rsid w:val="00B3791B"/>
    <w:rsid w:val="00B40A96"/>
    <w:rsid w:val="00B4184B"/>
    <w:rsid w:val="00B422A7"/>
    <w:rsid w:val="00B42A32"/>
    <w:rsid w:val="00B42FA6"/>
    <w:rsid w:val="00B4399E"/>
    <w:rsid w:val="00B43A16"/>
    <w:rsid w:val="00B45CE1"/>
    <w:rsid w:val="00B46A75"/>
    <w:rsid w:val="00B470A7"/>
    <w:rsid w:val="00B500CD"/>
    <w:rsid w:val="00B5109D"/>
    <w:rsid w:val="00B52393"/>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BC9"/>
    <w:rsid w:val="00BA4641"/>
    <w:rsid w:val="00BA4A54"/>
    <w:rsid w:val="00BA4E6C"/>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7F"/>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0"/>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6B1D"/>
    <w:rsid w:val="00C8735C"/>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51A3"/>
    <w:rsid w:val="00CB6795"/>
    <w:rsid w:val="00CB71F8"/>
    <w:rsid w:val="00CC180A"/>
    <w:rsid w:val="00CC1F61"/>
    <w:rsid w:val="00CC26DB"/>
    <w:rsid w:val="00CC300C"/>
    <w:rsid w:val="00CC35AE"/>
    <w:rsid w:val="00CC3DAA"/>
    <w:rsid w:val="00CC4C2C"/>
    <w:rsid w:val="00CC5057"/>
    <w:rsid w:val="00CC767E"/>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530E"/>
    <w:rsid w:val="00D05A5E"/>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7760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2610"/>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2000"/>
    <w:rsid w:val="00E031BB"/>
    <w:rsid w:val="00E0417B"/>
    <w:rsid w:val="00E0576C"/>
    <w:rsid w:val="00E068BC"/>
    <w:rsid w:val="00E06B68"/>
    <w:rsid w:val="00E073F0"/>
    <w:rsid w:val="00E10761"/>
    <w:rsid w:val="00E11D7A"/>
    <w:rsid w:val="00E11EEB"/>
    <w:rsid w:val="00E128F2"/>
    <w:rsid w:val="00E13E5A"/>
    <w:rsid w:val="00E13EE4"/>
    <w:rsid w:val="00E16463"/>
    <w:rsid w:val="00E1652F"/>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381A"/>
    <w:rsid w:val="00E3409E"/>
    <w:rsid w:val="00E34F76"/>
    <w:rsid w:val="00E35558"/>
    <w:rsid w:val="00E37BE5"/>
    <w:rsid w:val="00E40CE8"/>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920"/>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3DE2"/>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6BF2"/>
    <w:rsid w:val="00F07F39"/>
    <w:rsid w:val="00F10CB9"/>
    <w:rsid w:val="00F110CD"/>
    <w:rsid w:val="00F110D5"/>
    <w:rsid w:val="00F12351"/>
    <w:rsid w:val="00F144AD"/>
    <w:rsid w:val="00F14CF4"/>
    <w:rsid w:val="00F15193"/>
    <w:rsid w:val="00F16739"/>
    <w:rsid w:val="00F16DE2"/>
    <w:rsid w:val="00F2052B"/>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5C7"/>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5F92"/>
    <w:rsid w:val="00F86653"/>
    <w:rsid w:val="00F87032"/>
    <w:rsid w:val="00F87094"/>
    <w:rsid w:val="00F87AB3"/>
    <w:rsid w:val="00F87F6E"/>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A1E"/>
    <w:rsid w:val="00FA6E7F"/>
    <w:rsid w:val="00FA7114"/>
    <w:rsid w:val="00FB052D"/>
    <w:rsid w:val="00FB2101"/>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770"/>
    <w:rsid w:val="00FE515A"/>
    <w:rsid w:val="00FE5421"/>
    <w:rsid w:val="00FE5624"/>
    <w:rsid w:val="00FE5703"/>
    <w:rsid w:val="00FE5D2C"/>
    <w:rsid w:val="00FE5FBF"/>
    <w:rsid w:val="00FE6C25"/>
    <w:rsid w:val="00FF033A"/>
    <w:rsid w:val="00FF0964"/>
    <w:rsid w:val="00FF0F67"/>
    <w:rsid w:val="00FF16F2"/>
    <w:rsid w:val="00FF1F9B"/>
    <w:rsid w:val="00FF2611"/>
    <w:rsid w:val="00FF2B42"/>
    <w:rsid w:val="00FF2D5B"/>
    <w:rsid w:val="00FF3B7F"/>
    <w:rsid w:val="00FF4F92"/>
    <w:rsid w:val="00FF5428"/>
    <w:rsid w:val="00FF54EB"/>
    <w:rsid w:val="00FF6822"/>
    <w:rsid w:val="00FF73D0"/>
    <w:rsid w:val="070064E9"/>
    <w:rsid w:val="07B39E99"/>
    <w:rsid w:val="07BA243F"/>
    <w:rsid w:val="09C0678C"/>
    <w:rsid w:val="0C365EA4"/>
    <w:rsid w:val="0C7C81B0"/>
    <w:rsid w:val="0D0EDE05"/>
    <w:rsid w:val="0ED41F8D"/>
    <w:rsid w:val="0F280164"/>
    <w:rsid w:val="10E807B4"/>
    <w:rsid w:val="11194638"/>
    <w:rsid w:val="1328B26E"/>
    <w:rsid w:val="141204DA"/>
    <w:rsid w:val="14A054AA"/>
    <w:rsid w:val="14A7980B"/>
    <w:rsid w:val="16512788"/>
    <w:rsid w:val="1703FA0C"/>
    <w:rsid w:val="184204ED"/>
    <w:rsid w:val="1915AFB6"/>
    <w:rsid w:val="1A219784"/>
    <w:rsid w:val="1FAE4E7B"/>
    <w:rsid w:val="207C5373"/>
    <w:rsid w:val="2325766C"/>
    <w:rsid w:val="233FF8B8"/>
    <w:rsid w:val="2A307146"/>
    <w:rsid w:val="2C081102"/>
    <w:rsid w:val="2C87A766"/>
    <w:rsid w:val="2F6639AC"/>
    <w:rsid w:val="2FE51534"/>
    <w:rsid w:val="32182866"/>
    <w:rsid w:val="32975CEE"/>
    <w:rsid w:val="330A0C68"/>
    <w:rsid w:val="33949CF5"/>
    <w:rsid w:val="33A4A8DC"/>
    <w:rsid w:val="3464471D"/>
    <w:rsid w:val="346901B8"/>
    <w:rsid w:val="38076F22"/>
    <w:rsid w:val="3A4DB84D"/>
    <w:rsid w:val="3A873327"/>
    <w:rsid w:val="3A9BAB2D"/>
    <w:rsid w:val="3E61DC49"/>
    <w:rsid w:val="4008D6ED"/>
    <w:rsid w:val="402B8C46"/>
    <w:rsid w:val="416979EA"/>
    <w:rsid w:val="4300A28A"/>
    <w:rsid w:val="4439A050"/>
    <w:rsid w:val="443D3201"/>
    <w:rsid w:val="4592DFDC"/>
    <w:rsid w:val="4864C39F"/>
    <w:rsid w:val="48CAD879"/>
    <w:rsid w:val="4D62406C"/>
    <w:rsid w:val="4E24536E"/>
    <w:rsid w:val="4FC3917F"/>
    <w:rsid w:val="567380E6"/>
    <w:rsid w:val="574EC407"/>
    <w:rsid w:val="578C81EA"/>
    <w:rsid w:val="57FB48B2"/>
    <w:rsid w:val="5A1F6C83"/>
    <w:rsid w:val="5B7ECE71"/>
    <w:rsid w:val="5C07BE12"/>
    <w:rsid w:val="5DDAE991"/>
    <w:rsid w:val="601429BD"/>
    <w:rsid w:val="60417B16"/>
    <w:rsid w:val="6361E8DA"/>
    <w:rsid w:val="655741C0"/>
    <w:rsid w:val="65FA20B1"/>
    <w:rsid w:val="661D2E44"/>
    <w:rsid w:val="67205F1A"/>
    <w:rsid w:val="672BEDA5"/>
    <w:rsid w:val="68D092B6"/>
    <w:rsid w:val="695A62B8"/>
    <w:rsid w:val="6DCE0266"/>
    <w:rsid w:val="6F2EE974"/>
    <w:rsid w:val="6FDB62BE"/>
    <w:rsid w:val="701B3BE7"/>
    <w:rsid w:val="73F31950"/>
    <w:rsid w:val="740C7680"/>
    <w:rsid w:val="740CD04C"/>
    <w:rsid w:val="7596BB14"/>
    <w:rsid w:val="7609B8DD"/>
    <w:rsid w:val="760D654E"/>
    <w:rsid w:val="770A784C"/>
    <w:rsid w:val="77D6EBC8"/>
    <w:rsid w:val="781ED33A"/>
    <w:rsid w:val="78A85DED"/>
    <w:rsid w:val="793BA90F"/>
    <w:rsid w:val="7CA925C1"/>
    <w:rsid w:val="7D949928"/>
    <w:rsid w:val="7E8052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18"/>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1521316469">
          <w:marLeft w:val="0"/>
          <w:marRight w:val="0"/>
          <w:marTop w:val="0"/>
          <w:marBottom w:val="0"/>
          <w:divBdr>
            <w:top w:val="none" w:sz="0" w:space="0" w:color="auto"/>
            <w:left w:val="none" w:sz="0" w:space="0" w:color="auto"/>
            <w:bottom w:val="none" w:sz="0" w:space="0" w:color="auto"/>
            <w:right w:val="none" w:sz="0" w:space="0" w:color="auto"/>
          </w:divBdr>
        </w:div>
        <w:div w:id="314264164">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5AIRPNAIUNRU-1830940522-5347</_dlc_DocId>
    <_dlc_DocIdUrl xmlns="71c5aaf6-e6ce-465b-b873-5148d2a4c105">
      <Url>https://nokia.sharepoint.com/sites/c5g/5gradio/_layouts/15/DocIdRedir.aspx?ID=5AIRPNAIUNRU-1830940522-5347</Url>
      <Description>5AIRPNAIUNRU-1830940522-5347</Description>
    </_dlc_DocIdUrl>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71c5aaf6-e6ce-465b-b873-5148d2a4c105"/>
    <ds:schemaRef ds:uri="95d2e41d-1f11-4347-bb1c-11d6a32975dd"/>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3b34c8f0-1ef5-4d1e-bb66-517ce7fe7356"/>
    <ds:schemaRef ds:uri="http://purl.org/dc/elements/1.1/"/>
    <ds:schemaRef ds:uri="ebabf6ce-2443-438c-9946-ecc878e7654a"/>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4B519A5-6C5F-40D2-9890-73E902A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8</Pages>
  <Words>3348</Words>
  <Characters>19090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2</cp:revision>
  <cp:lastPrinted>2019-03-28T09:37:00Z</cp:lastPrinted>
  <dcterms:created xsi:type="dcterms:W3CDTF">2019-04-02T16:10:00Z</dcterms:created>
  <dcterms:modified xsi:type="dcterms:W3CDTF">2019-04-02T16:10:00Z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1792a283-8c31-4847-aad7-ec2e59740831</vt:lpwstr>
  </property>
  <property fmtid="{D5CDD505-2E9C-101B-9397-08002B2CF9AE}" pid="9" name="AuthorIds_UIVersion_2048">
    <vt:lpwstr>14130</vt:lpwstr>
  </property>
  <property fmtid="{D5CDD505-2E9C-101B-9397-08002B2CF9AE}" pid="10" name="AuthorIds_UIVersion_512">
    <vt:lpwstr>14130</vt:lpwstr>
  </property>
</Properties>
</file>